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DAAF" w14:textId="4FD5083E" w:rsidR="00DA2D81" w:rsidRDefault="00DA2D81" w:rsidP="00DA2D81">
      <w:pPr>
        <w:jc w:val="right"/>
      </w:pPr>
      <w:r>
        <w:rPr>
          <w:rFonts w:hint="eastAsia"/>
        </w:rPr>
        <w:t>202</w:t>
      </w:r>
      <w:r w:rsidR="002D6114">
        <w:t>3</w:t>
      </w:r>
      <w:r>
        <w:rPr>
          <w:rFonts w:hint="eastAsia"/>
        </w:rPr>
        <w:t>年</w:t>
      </w:r>
      <w:r w:rsidR="005A60C7">
        <w:rPr>
          <w:rFonts w:hint="eastAsia"/>
        </w:rPr>
        <w:t>9</w:t>
      </w:r>
      <w:r>
        <w:rPr>
          <w:rFonts w:hint="eastAsia"/>
        </w:rPr>
        <w:t>月</w:t>
      </w:r>
    </w:p>
    <w:p w14:paraId="6DD50676" w14:textId="26C43293" w:rsidR="00DA2D81" w:rsidRPr="008E4806" w:rsidRDefault="00C04458" w:rsidP="00DA2D81">
      <w:pPr>
        <w:jc w:val="center"/>
        <w:rPr>
          <w:b/>
          <w:u w:val="single"/>
        </w:rPr>
      </w:pPr>
      <w:r>
        <w:rPr>
          <w:rFonts w:hint="eastAsia"/>
          <w:b/>
          <w:u w:val="single"/>
        </w:rPr>
        <w:t>米国情報</w:t>
      </w:r>
      <w:r w:rsidR="00DA2D81" w:rsidRPr="008E4806">
        <w:rPr>
          <w:rFonts w:hint="eastAsia"/>
          <w:b/>
          <w:u w:val="single"/>
        </w:rPr>
        <w:t xml:space="preserve">　</w:t>
      </w:r>
      <w:r w:rsidR="00DA2D81" w:rsidRPr="008E4806">
        <w:rPr>
          <w:rFonts w:hint="eastAsia"/>
          <w:b/>
          <w:u w:val="single"/>
        </w:rPr>
        <w:t>20</w:t>
      </w:r>
      <w:r w:rsidR="00DA2D81">
        <w:rPr>
          <w:rFonts w:hint="eastAsia"/>
          <w:b/>
          <w:u w:val="single"/>
        </w:rPr>
        <w:t>2</w:t>
      </w:r>
      <w:r w:rsidR="002D6114">
        <w:rPr>
          <w:rFonts w:hint="eastAsia"/>
          <w:b/>
          <w:u w:val="single"/>
        </w:rPr>
        <w:t>3</w:t>
      </w:r>
      <w:r w:rsidR="00DA2D81" w:rsidRPr="008E4806">
        <w:rPr>
          <w:rFonts w:hint="eastAsia"/>
          <w:b/>
          <w:u w:val="single"/>
        </w:rPr>
        <w:t>年</w:t>
      </w:r>
      <w:r w:rsidR="005A60C7">
        <w:rPr>
          <w:rFonts w:hint="eastAsia"/>
          <w:b/>
          <w:u w:val="single"/>
        </w:rPr>
        <w:t>9</w:t>
      </w:r>
      <w:r w:rsidR="00DA2D81" w:rsidRPr="008E4806">
        <w:rPr>
          <w:rFonts w:hint="eastAsia"/>
          <w:b/>
          <w:u w:val="single"/>
        </w:rPr>
        <w:t>月分</w:t>
      </w:r>
    </w:p>
    <w:p w14:paraId="2065C83B" w14:textId="77777777" w:rsidR="00DA2D81" w:rsidRDefault="00DA2D81" w:rsidP="00DA2D81"/>
    <w:p w14:paraId="7BBF5539" w14:textId="77777777" w:rsidR="00DA2D81" w:rsidRDefault="00DA2D81" w:rsidP="00DA2D81">
      <w:pPr>
        <w:jc w:val="right"/>
      </w:pPr>
      <w:r>
        <w:rPr>
          <w:rFonts w:hint="eastAsia"/>
        </w:rPr>
        <w:t>日賑グローバル株式会社</w:t>
      </w:r>
    </w:p>
    <w:p w14:paraId="76356B15" w14:textId="77777777" w:rsidR="00DA2D81" w:rsidRDefault="00DA2D81" w:rsidP="00DA2D81">
      <w:pPr>
        <w:jc w:val="right"/>
      </w:pPr>
      <w:r>
        <w:rPr>
          <w:rFonts w:hint="eastAsia"/>
        </w:rPr>
        <w:t>米山</w:t>
      </w:r>
    </w:p>
    <w:p w14:paraId="1E599B3C" w14:textId="5D417A76" w:rsidR="00585D6E" w:rsidRDefault="00585D6E" w:rsidP="00585D6E">
      <w:pPr>
        <w:pStyle w:val="Default"/>
      </w:pPr>
      <w:bookmarkStart w:id="0" w:name="_Hlk46935430"/>
      <w:bookmarkStart w:id="1" w:name="_Hlk46935612"/>
    </w:p>
    <w:p w14:paraId="4408A991" w14:textId="77777777" w:rsidR="005A60C7" w:rsidRPr="005A60C7" w:rsidRDefault="00585D6E" w:rsidP="005A60C7">
      <w:pPr>
        <w:pStyle w:val="Default"/>
        <w:rPr>
          <w:sz w:val="21"/>
          <w:szCs w:val="21"/>
        </w:rPr>
      </w:pPr>
      <w:r>
        <w:rPr>
          <w:rFonts w:hint="eastAsia"/>
          <w:sz w:val="21"/>
          <w:szCs w:val="21"/>
        </w:rPr>
        <w:t>●</w:t>
      </w:r>
      <w:r>
        <w:rPr>
          <w:sz w:val="21"/>
          <w:szCs w:val="21"/>
        </w:rPr>
        <w:t xml:space="preserve"> </w:t>
      </w:r>
      <w:r w:rsidR="005A60C7" w:rsidRPr="005A60C7">
        <w:rPr>
          <w:rFonts w:hint="eastAsia"/>
          <w:sz w:val="21"/>
          <w:szCs w:val="21"/>
        </w:rPr>
        <w:t>米国における企業の非財務価値向上と開示に向けた政府の政策動向、企業の取り組みと今後の展望</w:t>
      </w:r>
    </w:p>
    <w:p w14:paraId="1B5DE67C" w14:textId="77777777" w:rsidR="005A60C7" w:rsidRPr="005A60C7" w:rsidRDefault="005A60C7" w:rsidP="005A60C7">
      <w:pPr>
        <w:pStyle w:val="Default"/>
        <w:rPr>
          <w:sz w:val="21"/>
          <w:szCs w:val="21"/>
        </w:rPr>
      </w:pPr>
      <w:r w:rsidRPr="005A60C7">
        <w:rPr>
          <w:rFonts w:hint="eastAsia"/>
          <w:sz w:val="21"/>
          <w:szCs w:val="21"/>
        </w:rPr>
        <w:t>（環境対応・ダイバーシティ促進・ガバナンス強化などESG 、および産業競争力強化に向けた専門分野人材の確保など）</w:t>
      </w:r>
    </w:p>
    <w:p w14:paraId="69054F1B" w14:textId="77777777" w:rsidR="005A60C7" w:rsidRDefault="005A60C7" w:rsidP="005A60C7">
      <w:pPr>
        <w:pStyle w:val="Default"/>
        <w:ind w:leftChars="100" w:left="210"/>
        <w:rPr>
          <w:sz w:val="21"/>
          <w:szCs w:val="21"/>
        </w:rPr>
      </w:pPr>
    </w:p>
    <w:p w14:paraId="7C5FEF78" w14:textId="3A113361" w:rsidR="005A60C7" w:rsidRPr="005A60C7" w:rsidRDefault="005A60C7" w:rsidP="005A60C7">
      <w:pPr>
        <w:pStyle w:val="Default"/>
        <w:ind w:left="210" w:hangingChars="100" w:hanging="210"/>
        <w:rPr>
          <w:sz w:val="21"/>
          <w:szCs w:val="21"/>
        </w:rPr>
      </w:pPr>
      <w:r>
        <w:rPr>
          <w:rFonts w:hint="eastAsia"/>
          <w:sz w:val="21"/>
          <w:szCs w:val="21"/>
        </w:rPr>
        <w:t>・</w:t>
      </w:r>
      <w:r w:rsidRPr="005A60C7">
        <w:rPr>
          <w:rFonts w:hint="eastAsia"/>
          <w:sz w:val="21"/>
          <w:szCs w:val="21"/>
        </w:rPr>
        <w:t>サスティナブルファンド巡る透明性を巡る議論、また、ESG 投資および反ESG 投資の動きなど、連邦議会における民主・共和の姿勢の違い、主要州における政策動向など中央・地方の動向も含めて</w:t>
      </w:r>
    </w:p>
    <w:p w14:paraId="25E00056" w14:textId="0772D94A" w:rsidR="003A5F13" w:rsidRDefault="005A60C7" w:rsidP="005A60C7">
      <w:pPr>
        <w:pStyle w:val="Default"/>
        <w:ind w:leftChars="100" w:left="210"/>
        <w:rPr>
          <w:sz w:val="21"/>
          <w:szCs w:val="21"/>
        </w:rPr>
      </w:pPr>
      <w:r w:rsidRPr="005A60C7">
        <w:rPr>
          <w:rFonts w:hint="eastAsia"/>
          <w:sz w:val="21"/>
          <w:szCs w:val="21"/>
        </w:rPr>
        <w:t>（必ず報告書にお含み頂きたい事項：調査対象国・地域の政策・規制の具体的中身、それに伴う予算規模／市場規模、主体となる組織・人物などの基本データ）</w:t>
      </w:r>
    </w:p>
    <w:p w14:paraId="065E4F9D" w14:textId="77777777" w:rsidR="005A60C7" w:rsidRPr="00585D6E" w:rsidRDefault="005A60C7" w:rsidP="005A60C7">
      <w:pPr>
        <w:pStyle w:val="Default"/>
        <w:ind w:leftChars="100" w:left="210"/>
        <w:rPr>
          <w:rFonts w:hAnsi="Wingdings" w:hint="eastAsia"/>
          <w:sz w:val="21"/>
          <w:szCs w:val="21"/>
        </w:rPr>
      </w:pPr>
    </w:p>
    <w:p w14:paraId="08FE1327" w14:textId="7C36B312" w:rsidR="00BC413D" w:rsidRDefault="00BC413D" w:rsidP="001E63F3">
      <w:pPr>
        <w:pStyle w:val="Default"/>
        <w:rPr>
          <w:rFonts w:hAnsi="Wingdings" w:hint="eastAsia"/>
          <w:b/>
          <w:bCs/>
          <w:sz w:val="21"/>
          <w:szCs w:val="21"/>
        </w:rPr>
      </w:pPr>
      <w:r w:rsidRPr="00BC413D">
        <w:rPr>
          <w:rFonts w:hAnsi="Wingdings" w:hint="eastAsia"/>
          <w:b/>
          <w:bCs/>
          <w:sz w:val="21"/>
          <w:szCs w:val="21"/>
        </w:rPr>
        <w:t>はじめに</w:t>
      </w:r>
    </w:p>
    <w:bookmarkEnd w:id="0"/>
    <w:bookmarkEnd w:id="1"/>
    <w:p w14:paraId="30C7651B" w14:textId="23C359DE" w:rsidR="00F67A7D" w:rsidRDefault="00207CAF" w:rsidP="00F67A7D">
      <w:pPr>
        <w:ind w:firstLineChars="100" w:firstLine="210"/>
        <w:jc w:val="left"/>
        <w:rPr>
          <w:szCs w:val="21"/>
        </w:rPr>
      </w:pPr>
      <w:r>
        <w:rPr>
          <w:rFonts w:hint="eastAsia"/>
          <w:szCs w:val="21"/>
        </w:rPr>
        <w:t>企業の</w:t>
      </w:r>
      <w:r>
        <w:rPr>
          <w:rFonts w:hint="eastAsia"/>
          <w:szCs w:val="21"/>
        </w:rPr>
        <w:t>ESG</w:t>
      </w:r>
      <w:r>
        <w:rPr>
          <w:rFonts w:hint="eastAsia"/>
          <w:szCs w:val="21"/>
        </w:rPr>
        <w:t>や人的資本に関する情報開示については企業とその顧客はもとより、</w:t>
      </w:r>
      <w:r w:rsidR="00714F9E">
        <w:rPr>
          <w:rFonts w:hint="eastAsia"/>
          <w:szCs w:val="21"/>
        </w:rPr>
        <w:t xml:space="preserve">　　</w:t>
      </w:r>
      <w:r>
        <w:rPr>
          <w:rFonts w:hint="eastAsia"/>
          <w:szCs w:val="21"/>
        </w:rPr>
        <w:t>政権、議会、裁判所、州政府・議会・裁判所そしてファンド・投資家など様々な利害関係者が存在する。</w:t>
      </w:r>
    </w:p>
    <w:p w14:paraId="01E5E7EA" w14:textId="7ED61506" w:rsidR="005B2171" w:rsidRDefault="00207CAF" w:rsidP="00F67A7D">
      <w:pPr>
        <w:ind w:firstLineChars="100" w:firstLine="210"/>
        <w:jc w:val="left"/>
        <w:rPr>
          <w:szCs w:val="21"/>
        </w:rPr>
      </w:pPr>
      <w:r>
        <w:rPr>
          <w:rFonts w:hint="eastAsia"/>
          <w:szCs w:val="21"/>
        </w:rPr>
        <w:t>本論考では政権、連邦議会といった連邦政府、次いで州政府の順に政治の切り口から</w:t>
      </w:r>
      <w:r w:rsidR="00F67A7D">
        <w:rPr>
          <w:rFonts w:hint="eastAsia"/>
          <w:szCs w:val="21"/>
        </w:rPr>
        <w:t xml:space="preserve">　</w:t>
      </w:r>
      <w:r>
        <w:rPr>
          <w:rFonts w:hint="eastAsia"/>
          <w:szCs w:val="21"/>
        </w:rPr>
        <w:t>分析し、一部地政学、そして人口動態の切り口で分析</w:t>
      </w:r>
      <w:r w:rsidR="00F67A7D">
        <w:rPr>
          <w:rFonts w:hint="eastAsia"/>
          <w:szCs w:val="21"/>
        </w:rPr>
        <w:t>を続け</w:t>
      </w:r>
      <w:r>
        <w:rPr>
          <w:rFonts w:hint="eastAsia"/>
          <w:szCs w:val="21"/>
        </w:rPr>
        <w:t>、</w:t>
      </w:r>
      <w:r w:rsidR="00F67A7D">
        <w:rPr>
          <w:rFonts w:hint="eastAsia"/>
          <w:szCs w:val="21"/>
        </w:rPr>
        <w:t>最後に</w:t>
      </w:r>
      <w:r w:rsidR="008E789A">
        <w:rPr>
          <w:rFonts w:hint="eastAsia"/>
          <w:szCs w:val="21"/>
        </w:rPr>
        <w:t>米国</w:t>
      </w:r>
      <w:r>
        <w:rPr>
          <w:rFonts w:hint="eastAsia"/>
          <w:szCs w:val="21"/>
        </w:rPr>
        <w:t>企業自身の</w:t>
      </w:r>
      <w:r w:rsidR="008E789A">
        <w:rPr>
          <w:rFonts w:hint="eastAsia"/>
          <w:szCs w:val="21"/>
        </w:rPr>
        <w:t>動向</w:t>
      </w:r>
      <w:r>
        <w:rPr>
          <w:rFonts w:hint="eastAsia"/>
          <w:szCs w:val="21"/>
        </w:rPr>
        <w:t>を見ていく。</w:t>
      </w:r>
    </w:p>
    <w:p w14:paraId="57EE6850" w14:textId="77777777" w:rsidR="00207CAF" w:rsidRDefault="00207CAF" w:rsidP="00E837E8">
      <w:pPr>
        <w:jc w:val="left"/>
        <w:rPr>
          <w:szCs w:val="21"/>
        </w:rPr>
      </w:pPr>
    </w:p>
    <w:p w14:paraId="481ED385" w14:textId="77E60BCE" w:rsidR="00207CAF" w:rsidRPr="00235B31" w:rsidRDefault="00F67A7D" w:rsidP="00E837E8">
      <w:pPr>
        <w:jc w:val="left"/>
        <w:rPr>
          <w:b/>
          <w:bCs/>
          <w:szCs w:val="21"/>
        </w:rPr>
      </w:pPr>
      <w:r w:rsidRPr="00235B31">
        <w:rPr>
          <w:rFonts w:hint="eastAsia"/>
          <w:b/>
          <w:bCs/>
          <w:szCs w:val="21"/>
        </w:rPr>
        <w:t>１．連邦政府</w:t>
      </w:r>
    </w:p>
    <w:p w14:paraId="5A4DBDA5" w14:textId="77777777" w:rsidR="00F67A7D" w:rsidRDefault="00F67A7D" w:rsidP="00E837E8">
      <w:pPr>
        <w:jc w:val="left"/>
        <w:rPr>
          <w:b/>
          <w:bCs/>
          <w:szCs w:val="21"/>
        </w:rPr>
      </w:pPr>
    </w:p>
    <w:p w14:paraId="24389119" w14:textId="5C33227F" w:rsidR="00207CAF" w:rsidRPr="00F67A7D" w:rsidRDefault="00207CAF" w:rsidP="00F67A7D">
      <w:pPr>
        <w:pStyle w:val="a3"/>
        <w:numPr>
          <w:ilvl w:val="0"/>
          <w:numId w:val="18"/>
        </w:numPr>
        <w:ind w:leftChars="0"/>
        <w:jc w:val="left"/>
        <w:rPr>
          <w:b/>
          <w:bCs/>
          <w:szCs w:val="21"/>
        </w:rPr>
      </w:pPr>
      <w:r w:rsidRPr="00F67A7D">
        <w:rPr>
          <w:rFonts w:hint="eastAsia"/>
          <w:b/>
          <w:bCs/>
          <w:szCs w:val="21"/>
        </w:rPr>
        <w:t>バイデン政権の情報開示に関する政策</w:t>
      </w:r>
      <w:r w:rsidRPr="00F67A7D">
        <w:rPr>
          <w:b/>
          <w:bCs/>
          <w:szCs w:val="21"/>
        </w:rPr>
        <w:tab/>
      </w:r>
      <w:r w:rsidRPr="00F67A7D">
        <w:rPr>
          <w:rFonts w:hint="eastAsia"/>
          <w:b/>
          <w:bCs/>
          <w:szCs w:val="21"/>
        </w:rPr>
        <w:t>ソース：　ホワイトハウス</w:t>
      </w:r>
    </w:p>
    <w:p w14:paraId="5E0D059B" w14:textId="77777777" w:rsidR="00235B31" w:rsidRDefault="00235B31" w:rsidP="00235B31">
      <w:pPr>
        <w:ind w:firstLineChars="100" w:firstLine="210"/>
        <w:jc w:val="left"/>
        <w:rPr>
          <w:szCs w:val="21"/>
        </w:rPr>
      </w:pPr>
    </w:p>
    <w:p w14:paraId="76E3D014" w14:textId="319C8E54" w:rsidR="00207CAF" w:rsidRDefault="00EE7C06" w:rsidP="00235B31">
      <w:pPr>
        <w:ind w:firstLineChars="100" w:firstLine="210"/>
        <w:jc w:val="left"/>
        <w:rPr>
          <w:szCs w:val="21"/>
        </w:rPr>
      </w:pPr>
      <w:r>
        <w:rPr>
          <w:rFonts w:hint="eastAsia"/>
          <w:szCs w:val="21"/>
        </w:rPr>
        <w:t>2050</w:t>
      </w:r>
      <w:r>
        <w:rPr>
          <w:rFonts w:hint="eastAsia"/>
          <w:szCs w:val="21"/>
        </w:rPr>
        <w:t>年までにネットゼロ</w:t>
      </w:r>
      <w:r w:rsidR="00B3221E">
        <w:rPr>
          <w:rFonts w:hint="eastAsia"/>
          <w:szCs w:val="21"/>
        </w:rPr>
        <w:t>を実現する１つのイニシアチブとしてバイデン政権は</w:t>
      </w:r>
      <w:r w:rsidR="00B3221E">
        <w:rPr>
          <w:rFonts w:hint="eastAsia"/>
          <w:szCs w:val="21"/>
        </w:rPr>
        <w:t>2022</w:t>
      </w:r>
      <w:r w:rsidR="00B3221E">
        <w:rPr>
          <w:rFonts w:hint="eastAsia"/>
          <w:szCs w:val="21"/>
        </w:rPr>
        <w:t>年</w:t>
      </w:r>
      <w:r w:rsidR="00B3221E">
        <w:rPr>
          <w:rFonts w:hint="eastAsia"/>
          <w:szCs w:val="21"/>
        </w:rPr>
        <w:t>11</w:t>
      </w:r>
      <w:r w:rsidR="00B3221E">
        <w:rPr>
          <w:rFonts w:hint="eastAsia"/>
          <w:szCs w:val="21"/>
        </w:rPr>
        <w:t>月</w:t>
      </w:r>
      <w:r w:rsidR="00B3221E">
        <w:rPr>
          <w:rFonts w:hint="eastAsia"/>
          <w:szCs w:val="21"/>
        </w:rPr>
        <w:t>14</w:t>
      </w:r>
      <w:r w:rsidR="00B3221E">
        <w:rPr>
          <w:rFonts w:hint="eastAsia"/>
          <w:szCs w:val="21"/>
        </w:rPr>
        <w:t>日に連邦調達規定から連邦政府と契約を行う企業に気候変動に関する情報開示を求めるルール案を提示。</w:t>
      </w:r>
      <w:r w:rsidR="00B3221E">
        <w:rPr>
          <w:rFonts w:hint="eastAsia"/>
          <w:szCs w:val="21"/>
        </w:rPr>
        <w:t>2023</w:t>
      </w:r>
      <w:r w:rsidR="00B3221E">
        <w:rPr>
          <w:rFonts w:hint="eastAsia"/>
          <w:szCs w:val="21"/>
        </w:rPr>
        <w:t>年</w:t>
      </w:r>
      <w:r w:rsidR="00B3221E">
        <w:rPr>
          <w:rFonts w:hint="eastAsia"/>
          <w:szCs w:val="21"/>
        </w:rPr>
        <w:t>2</w:t>
      </w:r>
      <w:r w:rsidR="00B3221E">
        <w:rPr>
          <w:rFonts w:hint="eastAsia"/>
          <w:szCs w:val="21"/>
        </w:rPr>
        <w:t>月までヒアリングを行い、最終案を固め、来年</w:t>
      </w:r>
      <w:r w:rsidR="00B3221E">
        <w:rPr>
          <w:rFonts w:hint="eastAsia"/>
          <w:szCs w:val="21"/>
        </w:rPr>
        <w:t>11</w:t>
      </w:r>
      <w:r w:rsidR="00B3221E">
        <w:rPr>
          <w:rFonts w:hint="eastAsia"/>
          <w:szCs w:val="21"/>
        </w:rPr>
        <w:t>月頃に施行する。</w:t>
      </w:r>
    </w:p>
    <w:p w14:paraId="7438B91E" w14:textId="0556B265" w:rsidR="00B3221E" w:rsidRDefault="00B3221E" w:rsidP="00235B31">
      <w:pPr>
        <w:ind w:firstLineChars="100" w:firstLine="210"/>
        <w:jc w:val="left"/>
        <w:rPr>
          <w:szCs w:val="21"/>
        </w:rPr>
      </w:pPr>
      <w:r>
        <w:rPr>
          <w:rFonts w:hint="eastAsia"/>
          <w:szCs w:val="21"/>
        </w:rPr>
        <w:t>現在の案では連邦政府との契約額が</w:t>
      </w:r>
      <w:r>
        <w:rPr>
          <w:rFonts w:hint="eastAsia"/>
          <w:szCs w:val="21"/>
        </w:rPr>
        <w:t>5</w:t>
      </w:r>
      <w:r>
        <w:rPr>
          <w:rFonts w:hint="eastAsia"/>
          <w:szCs w:val="21"/>
        </w:rPr>
        <w:t>千万ドルを超える</w:t>
      </w:r>
      <w:r>
        <w:rPr>
          <w:rFonts w:hint="eastAsia"/>
          <w:szCs w:val="21"/>
        </w:rPr>
        <w:t>Major Contractors</w:t>
      </w:r>
      <w:r>
        <w:rPr>
          <w:rFonts w:hint="eastAsia"/>
          <w:szCs w:val="21"/>
        </w:rPr>
        <w:t>は</w:t>
      </w:r>
      <w:r w:rsidR="00286097">
        <w:rPr>
          <w:rFonts w:hint="eastAsia"/>
          <w:szCs w:val="21"/>
        </w:rPr>
        <w:t>GHG</w:t>
      </w:r>
      <w:r w:rsidR="00286097">
        <w:rPr>
          <w:szCs w:val="21"/>
        </w:rPr>
        <w:t xml:space="preserve"> Protocol Corporate Accounting and Reporting Standards</w:t>
      </w:r>
      <w:r w:rsidR="00286097">
        <w:rPr>
          <w:rFonts w:hint="eastAsia"/>
          <w:szCs w:val="21"/>
        </w:rPr>
        <w:t>に則り、</w:t>
      </w:r>
      <w:r w:rsidR="00286097">
        <w:rPr>
          <w:rFonts w:hint="eastAsia"/>
          <w:szCs w:val="21"/>
        </w:rPr>
        <w:t>Scope 1, 2</w:t>
      </w:r>
      <w:r w:rsidR="00286097">
        <w:rPr>
          <w:rFonts w:hint="eastAsia"/>
          <w:szCs w:val="21"/>
        </w:rPr>
        <w:t>および</w:t>
      </w:r>
      <w:r w:rsidR="00286097">
        <w:rPr>
          <w:rFonts w:hint="eastAsia"/>
          <w:szCs w:val="21"/>
        </w:rPr>
        <w:t>3</w:t>
      </w:r>
      <w:r w:rsidR="00286097">
        <w:rPr>
          <w:rFonts w:hint="eastAsia"/>
          <w:szCs w:val="21"/>
        </w:rPr>
        <w:t>の</w:t>
      </w:r>
      <w:r w:rsidR="00286097">
        <w:rPr>
          <w:rFonts w:hint="eastAsia"/>
          <w:szCs w:val="21"/>
        </w:rPr>
        <w:lastRenderedPageBreak/>
        <w:t>排出量を</w:t>
      </w:r>
      <w:r w:rsidR="00B55464">
        <w:rPr>
          <w:rFonts w:hint="eastAsia"/>
          <w:szCs w:val="21"/>
        </w:rPr>
        <w:t>、</w:t>
      </w:r>
      <w:r w:rsidR="00B55464">
        <w:rPr>
          <w:rFonts w:hint="eastAsia"/>
          <w:szCs w:val="21"/>
        </w:rPr>
        <w:t>C</w:t>
      </w:r>
      <w:r w:rsidR="00B55464">
        <w:rPr>
          <w:szCs w:val="21"/>
        </w:rPr>
        <w:t>DP</w:t>
      </w:r>
      <w:r w:rsidR="00B55464">
        <w:rPr>
          <w:rStyle w:val="ac"/>
          <w:szCs w:val="21"/>
        </w:rPr>
        <w:footnoteReference w:id="1"/>
      </w:r>
      <w:r w:rsidR="00B55464">
        <w:rPr>
          <w:rFonts w:hint="eastAsia"/>
          <w:szCs w:val="21"/>
        </w:rPr>
        <w:t>を通じ</w:t>
      </w:r>
      <w:r w:rsidR="00286097">
        <w:rPr>
          <w:rFonts w:hint="eastAsia"/>
          <w:szCs w:val="21"/>
        </w:rPr>
        <w:t>毎年開示することを求める。同時に、気候変動リスクを</w:t>
      </w:r>
      <w:r w:rsidR="00286097">
        <w:rPr>
          <w:rFonts w:hint="eastAsia"/>
          <w:szCs w:val="21"/>
        </w:rPr>
        <w:t>TCFD</w:t>
      </w:r>
      <w:r w:rsidR="00CB5371">
        <w:rPr>
          <w:rStyle w:val="ac"/>
          <w:szCs w:val="21"/>
        </w:rPr>
        <w:footnoteReference w:id="2"/>
      </w:r>
      <w:r w:rsidR="00286097">
        <w:rPr>
          <w:rFonts w:hint="eastAsia"/>
          <w:szCs w:val="21"/>
        </w:rPr>
        <w:t>の推奨に基づき評価の上</w:t>
      </w:r>
      <w:r w:rsidR="00B55464">
        <w:rPr>
          <w:rFonts w:hint="eastAsia"/>
          <w:szCs w:val="21"/>
        </w:rPr>
        <w:t>、</w:t>
      </w:r>
      <w:r w:rsidR="00B55464">
        <w:rPr>
          <w:rFonts w:hint="eastAsia"/>
          <w:szCs w:val="21"/>
        </w:rPr>
        <w:t>CDP</w:t>
      </w:r>
      <w:r w:rsidR="00B55464">
        <w:rPr>
          <w:rFonts w:hint="eastAsia"/>
          <w:szCs w:val="21"/>
        </w:rPr>
        <w:t>を通じ</w:t>
      </w:r>
      <w:r w:rsidR="00286097">
        <w:rPr>
          <w:rFonts w:hint="eastAsia"/>
          <w:szCs w:val="21"/>
        </w:rPr>
        <w:t>開示し、</w:t>
      </w:r>
      <w:r w:rsidR="00286097">
        <w:rPr>
          <w:rFonts w:hint="eastAsia"/>
          <w:szCs w:val="21"/>
        </w:rPr>
        <w:t>SBTi</w:t>
      </w:r>
      <w:r w:rsidR="00B55464">
        <w:rPr>
          <w:rStyle w:val="ac"/>
          <w:szCs w:val="21"/>
        </w:rPr>
        <w:footnoteReference w:id="3"/>
      </w:r>
      <w:r w:rsidR="00286097">
        <w:rPr>
          <w:rFonts w:hint="eastAsia"/>
          <w:szCs w:val="21"/>
        </w:rPr>
        <w:t>の監査を受けた排出削減のアプローチも開示する</w:t>
      </w:r>
      <w:r w:rsidR="00CB5371">
        <w:rPr>
          <w:rFonts w:hint="eastAsia"/>
          <w:szCs w:val="21"/>
        </w:rPr>
        <w:t>ことを求める。</w:t>
      </w:r>
    </w:p>
    <w:p w14:paraId="706DB740" w14:textId="066239EF" w:rsidR="00CB5371" w:rsidRDefault="00B55464" w:rsidP="00235B31">
      <w:pPr>
        <w:ind w:firstLineChars="100" w:firstLine="210"/>
        <w:jc w:val="left"/>
        <w:rPr>
          <w:szCs w:val="21"/>
        </w:rPr>
      </w:pPr>
      <w:r>
        <w:rPr>
          <w:rFonts w:hint="eastAsia"/>
          <w:szCs w:val="21"/>
        </w:rPr>
        <w:t>連邦政府との契約金額が</w:t>
      </w:r>
      <w:r>
        <w:rPr>
          <w:rFonts w:hint="eastAsia"/>
          <w:szCs w:val="21"/>
        </w:rPr>
        <w:t>750</w:t>
      </w:r>
      <w:r>
        <w:rPr>
          <w:rFonts w:hint="eastAsia"/>
          <w:szCs w:val="21"/>
        </w:rPr>
        <w:t>万ドル以上</w:t>
      </w:r>
      <w:r>
        <w:rPr>
          <w:rFonts w:hint="eastAsia"/>
          <w:szCs w:val="21"/>
        </w:rPr>
        <w:t>5</w:t>
      </w:r>
      <w:r>
        <w:rPr>
          <w:rFonts w:hint="eastAsia"/>
          <w:szCs w:val="21"/>
        </w:rPr>
        <w:t>千万ドル未満の</w:t>
      </w:r>
      <w:r>
        <w:rPr>
          <w:rFonts w:hint="eastAsia"/>
          <w:szCs w:val="21"/>
        </w:rPr>
        <w:t>S</w:t>
      </w:r>
      <w:r>
        <w:rPr>
          <w:szCs w:val="21"/>
        </w:rPr>
        <w:t>ignificant Contractors</w:t>
      </w:r>
      <w:r>
        <w:rPr>
          <w:rFonts w:hint="eastAsia"/>
          <w:szCs w:val="21"/>
        </w:rPr>
        <w:t>も</w:t>
      </w:r>
      <w:r w:rsidR="00250E87">
        <w:rPr>
          <w:rFonts w:hint="eastAsia"/>
          <w:szCs w:val="21"/>
        </w:rPr>
        <w:t>GHG</w:t>
      </w:r>
      <w:r w:rsidR="00250E87">
        <w:rPr>
          <w:rFonts w:hint="eastAsia"/>
          <w:szCs w:val="21"/>
        </w:rPr>
        <w:t>排出量の開示を</w:t>
      </w:r>
      <w:r w:rsidR="00250E87">
        <w:rPr>
          <w:rFonts w:hint="eastAsia"/>
          <w:szCs w:val="21"/>
        </w:rPr>
        <w:t>Scope 1</w:t>
      </w:r>
      <w:r w:rsidR="00250E87">
        <w:rPr>
          <w:rFonts w:hint="eastAsia"/>
          <w:szCs w:val="21"/>
        </w:rPr>
        <w:t>と</w:t>
      </w:r>
      <w:r w:rsidR="00250E87">
        <w:rPr>
          <w:rFonts w:hint="eastAsia"/>
          <w:szCs w:val="21"/>
        </w:rPr>
        <w:t>2</w:t>
      </w:r>
      <w:r w:rsidR="00250E87">
        <w:rPr>
          <w:rFonts w:hint="eastAsia"/>
          <w:szCs w:val="21"/>
        </w:rPr>
        <w:t>のみ求められる。</w:t>
      </w:r>
    </w:p>
    <w:p w14:paraId="3EC3224A" w14:textId="77777777" w:rsidR="00250E87" w:rsidRDefault="00250E87" w:rsidP="00E837E8">
      <w:pPr>
        <w:jc w:val="left"/>
        <w:rPr>
          <w:szCs w:val="21"/>
        </w:rPr>
      </w:pPr>
    </w:p>
    <w:p w14:paraId="36295413" w14:textId="7D1B541C" w:rsidR="00250E87" w:rsidRPr="00250E87" w:rsidRDefault="00250E87" w:rsidP="00250E87">
      <w:pPr>
        <w:pStyle w:val="a3"/>
        <w:numPr>
          <w:ilvl w:val="0"/>
          <w:numId w:val="18"/>
        </w:numPr>
        <w:ind w:leftChars="0"/>
        <w:jc w:val="left"/>
        <w:rPr>
          <w:b/>
          <w:bCs/>
          <w:szCs w:val="21"/>
        </w:rPr>
      </w:pPr>
      <w:r w:rsidRPr="00250E87">
        <w:rPr>
          <w:rFonts w:hint="eastAsia"/>
          <w:b/>
          <w:bCs/>
          <w:szCs w:val="21"/>
        </w:rPr>
        <w:t>バイデン政権と議会共和党の労働省ルールに関する対立　ソース：　ホワイトハウス</w:t>
      </w:r>
    </w:p>
    <w:p w14:paraId="1114347D" w14:textId="77777777" w:rsidR="00250E87" w:rsidRDefault="00250E87" w:rsidP="00250E87">
      <w:pPr>
        <w:jc w:val="left"/>
        <w:rPr>
          <w:szCs w:val="21"/>
        </w:rPr>
      </w:pPr>
    </w:p>
    <w:p w14:paraId="1888BFA7" w14:textId="349CE406" w:rsidR="00250E87" w:rsidRPr="00250E87" w:rsidRDefault="00250E87" w:rsidP="00235B31">
      <w:pPr>
        <w:ind w:firstLineChars="100" w:firstLine="210"/>
        <w:jc w:val="left"/>
        <w:rPr>
          <w:szCs w:val="21"/>
        </w:rPr>
      </w:pPr>
      <w:r>
        <w:rPr>
          <w:rFonts w:hint="eastAsia"/>
          <w:szCs w:val="21"/>
        </w:rPr>
        <w:t>トランプ前政権が</w:t>
      </w:r>
      <w:r>
        <w:rPr>
          <w:rFonts w:hint="eastAsia"/>
          <w:szCs w:val="21"/>
        </w:rPr>
        <w:t>2020</w:t>
      </w:r>
      <w:r>
        <w:rPr>
          <w:rFonts w:hint="eastAsia"/>
          <w:szCs w:val="21"/>
        </w:rPr>
        <w:t>年に出した退職金積み立て資金の投資に</w:t>
      </w:r>
      <w:r>
        <w:rPr>
          <w:rFonts w:hint="eastAsia"/>
          <w:szCs w:val="21"/>
        </w:rPr>
        <w:t>ESG</w:t>
      </w:r>
      <w:r>
        <w:rPr>
          <w:rFonts w:hint="eastAsia"/>
          <w:szCs w:val="21"/>
        </w:rPr>
        <w:t>を考慮させない</w:t>
      </w:r>
      <w:r w:rsidR="00235B31">
        <w:rPr>
          <w:rFonts w:hint="eastAsia"/>
          <w:szCs w:val="21"/>
        </w:rPr>
        <w:t xml:space="preserve">　</w:t>
      </w:r>
      <w:r>
        <w:rPr>
          <w:rFonts w:hint="eastAsia"/>
          <w:szCs w:val="21"/>
        </w:rPr>
        <w:t>ルールをバイデン政権は</w:t>
      </w:r>
      <w:r>
        <w:rPr>
          <w:rFonts w:hint="eastAsia"/>
          <w:szCs w:val="21"/>
        </w:rPr>
        <w:t>2022</w:t>
      </w:r>
      <w:r>
        <w:rPr>
          <w:rFonts w:hint="eastAsia"/>
          <w:szCs w:val="21"/>
        </w:rPr>
        <w:t>年</w:t>
      </w:r>
      <w:r>
        <w:rPr>
          <w:rFonts w:hint="eastAsia"/>
          <w:szCs w:val="21"/>
        </w:rPr>
        <w:t>12</w:t>
      </w:r>
      <w:r>
        <w:rPr>
          <w:rFonts w:hint="eastAsia"/>
          <w:szCs w:val="21"/>
        </w:rPr>
        <w:t>月</w:t>
      </w:r>
      <w:r>
        <w:rPr>
          <w:rFonts w:hint="eastAsia"/>
          <w:szCs w:val="21"/>
        </w:rPr>
        <w:t>1</w:t>
      </w:r>
      <w:r>
        <w:rPr>
          <w:rFonts w:hint="eastAsia"/>
          <w:szCs w:val="21"/>
        </w:rPr>
        <w:t>日、</w:t>
      </w:r>
      <w:r>
        <w:rPr>
          <w:szCs w:val="21"/>
        </w:rPr>
        <w:t>”Prudence and Loyalty in Selecting Plan Investments and Exercising Shareholder Rights”</w:t>
      </w:r>
      <w:r>
        <w:rPr>
          <w:rFonts w:hint="eastAsia"/>
          <w:szCs w:val="21"/>
        </w:rPr>
        <w:t>という労働省のルールとして</w:t>
      </w:r>
      <w:r>
        <w:rPr>
          <w:rFonts w:hint="eastAsia"/>
          <w:szCs w:val="21"/>
        </w:rPr>
        <w:t>ESG</w:t>
      </w:r>
      <w:r>
        <w:rPr>
          <w:rFonts w:hint="eastAsia"/>
          <w:szCs w:val="21"/>
        </w:rPr>
        <w:t>を</w:t>
      </w:r>
      <w:r w:rsidR="00235B31">
        <w:rPr>
          <w:rFonts w:hint="eastAsia"/>
          <w:szCs w:val="21"/>
        </w:rPr>
        <w:t xml:space="preserve">　</w:t>
      </w:r>
      <w:r>
        <w:rPr>
          <w:rFonts w:hint="eastAsia"/>
          <w:szCs w:val="21"/>
        </w:rPr>
        <w:t>考慮する投資を求めることと株主の権利の行使を求める政策に転換した。</w:t>
      </w:r>
    </w:p>
    <w:p w14:paraId="1ABACC60" w14:textId="31B912B1" w:rsidR="00CB5371" w:rsidRDefault="00250E87" w:rsidP="00E837E8">
      <w:pPr>
        <w:jc w:val="left"/>
        <w:rPr>
          <w:szCs w:val="21"/>
        </w:rPr>
      </w:pPr>
      <w:r>
        <w:rPr>
          <w:rFonts w:hint="eastAsia"/>
          <w:szCs w:val="21"/>
        </w:rPr>
        <w:t>これに対し、議会</w:t>
      </w:r>
      <w:r w:rsidR="00235B31">
        <w:rPr>
          <w:rFonts w:hint="eastAsia"/>
          <w:szCs w:val="21"/>
        </w:rPr>
        <w:t>は</w:t>
      </w:r>
      <w:r w:rsidR="00235B31">
        <w:rPr>
          <w:rFonts w:hint="eastAsia"/>
          <w:szCs w:val="21"/>
        </w:rPr>
        <w:t>2023</w:t>
      </w:r>
      <w:r w:rsidR="00235B31">
        <w:rPr>
          <w:rFonts w:hint="eastAsia"/>
          <w:szCs w:val="21"/>
        </w:rPr>
        <w:t>年</w:t>
      </w:r>
      <w:r w:rsidR="00235B31">
        <w:rPr>
          <w:rFonts w:hint="eastAsia"/>
          <w:szCs w:val="21"/>
        </w:rPr>
        <w:t>3</w:t>
      </w:r>
      <w:r w:rsidR="00235B31">
        <w:rPr>
          <w:rFonts w:hint="eastAsia"/>
          <w:szCs w:val="21"/>
        </w:rPr>
        <w:t>月</w:t>
      </w:r>
      <w:r w:rsidR="00235B31">
        <w:rPr>
          <w:rFonts w:hint="eastAsia"/>
          <w:szCs w:val="21"/>
        </w:rPr>
        <w:t>1</w:t>
      </w:r>
      <w:r w:rsidR="00235B31">
        <w:rPr>
          <w:rFonts w:hint="eastAsia"/>
          <w:szCs w:val="21"/>
        </w:rPr>
        <w:t>日、このルールを無効とする上下両院決議を出した。</w:t>
      </w:r>
    </w:p>
    <w:p w14:paraId="69143173" w14:textId="001E8CAA" w:rsidR="00235B31" w:rsidRDefault="00235B31" w:rsidP="00E837E8">
      <w:pPr>
        <w:jc w:val="left"/>
        <w:rPr>
          <w:szCs w:val="21"/>
        </w:rPr>
      </w:pPr>
      <w:r>
        <w:rPr>
          <w:rFonts w:hint="eastAsia"/>
          <w:szCs w:val="21"/>
        </w:rPr>
        <w:t>一方、バイデン大統領は同</w:t>
      </w:r>
      <w:r>
        <w:rPr>
          <w:rFonts w:hint="eastAsia"/>
          <w:szCs w:val="21"/>
        </w:rPr>
        <w:t>3</w:t>
      </w:r>
      <w:r>
        <w:rPr>
          <w:rFonts w:hint="eastAsia"/>
          <w:szCs w:val="21"/>
        </w:rPr>
        <w:t>月</w:t>
      </w:r>
      <w:r>
        <w:rPr>
          <w:rFonts w:hint="eastAsia"/>
          <w:szCs w:val="21"/>
        </w:rPr>
        <w:t>20</w:t>
      </w:r>
      <w:r>
        <w:rPr>
          <w:rFonts w:hint="eastAsia"/>
          <w:szCs w:val="21"/>
        </w:rPr>
        <w:t>日、この両院決議に対し拒否権を発動した。</w:t>
      </w:r>
    </w:p>
    <w:p w14:paraId="38A73AC0" w14:textId="77777777" w:rsidR="00235B31" w:rsidRDefault="00235B31" w:rsidP="00E837E8">
      <w:pPr>
        <w:jc w:val="left"/>
        <w:rPr>
          <w:szCs w:val="21"/>
        </w:rPr>
      </w:pPr>
    </w:p>
    <w:p w14:paraId="5EE674EC" w14:textId="1DF040C3" w:rsidR="00235B31" w:rsidRPr="00235B31" w:rsidRDefault="00235B31" w:rsidP="00235B31">
      <w:pPr>
        <w:pStyle w:val="a3"/>
        <w:numPr>
          <w:ilvl w:val="0"/>
          <w:numId w:val="18"/>
        </w:numPr>
        <w:ind w:leftChars="0"/>
        <w:jc w:val="left"/>
        <w:rPr>
          <w:b/>
          <w:bCs/>
          <w:szCs w:val="21"/>
        </w:rPr>
      </w:pPr>
      <w:r w:rsidRPr="00235B31">
        <w:rPr>
          <w:rFonts w:hint="eastAsia"/>
          <w:b/>
          <w:bCs/>
          <w:szCs w:val="21"/>
        </w:rPr>
        <w:t>バイデン政権の</w:t>
      </w:r>
      <w:r w:rsidRPr="00235B31">
        <w:rPr>
          <w:rFonts w:hint="eastAsia"/>
          <w:b/>
          <w:bCs/>
          <w:szCs w:val="21"/>
        </w:rPr>
        <w:t>DE</w:t>
      </w:r>
      <w:r w:rsidRPr="00235B31">
        <w:rPr>
          <w:rFonts w:hint="eastAsia"/>
          <w:b/>
          <w:bCs/>
          <w:szCs w:val="21"/>
        </w:rPr>
        <w:t>＆</w:t>
      </w:r>
      <w:r w:rsidRPr="00235B31">
        <w:rPr>
          <w:rFonts w:hint="eastAsia"/>
          <w:b/>
          <w:bCs/>
          <w:szCs w:val="21"/>
        </w:rPr>
        <w:t>I</w:t>
      </w:r>
      <w:r w:rsidRPr="00235B31">
        <w:rPr>
          <w:rStyle w:val="ac"/>
          <w:b/>
          <w:bCs/>
          <w:szCs w:val="21"/>
        </w:rPr>
        <w:footnoteReference w:id="4"/>
      </w:r>
      <w:r w:rsidRPr="00235B31">
        <w:rPr>
          <w:rFonts w:hint="eastAsia"/>
          <w:b/>
          <w:bCs/>
          <w:szCs w:val="21"/>
        </w:rPr>
        <w:t>政策</w:t>
      </w:r>
      <w:r w:rsidRPr="00235B31">
        <w:rPr>
          <w:b/>
          <w:bCs/>
          <w:szCs w:val="21"/>
        </w:rPr>
        <w:tab/>
      </w:r>
      <w:r w:rsidRPr="00235B31">
        <w:rPr>
          <w:rFonts w:hint="eastAsia"/>
          <w:b/>
          <w:bCs/>
          <w:szCs w:val="21"/>
        </w:rPr>
        <w:t>ソース：ホワイトハウス</w:t>
      </w:r>
    </w:p>
    <w:p w14:paraId="3D699283" w14:textId="77777777" w:rsidR="00235B31" w:rsidRDefault="00235B31" w:rsidP="00235B31">
      <w:pPr>
        <w:jc w:val="left"/>
        <w:rPr>
          <w:szCs w:val="21"/>
        </w:rPr>
      </w:pPr>
    </w:p>
    <w:p w14:paraId="283EBFDF" w14:textId="5BDBAFCC" w:rsidR="00235B31" w:rsidRPr="00235B31" w:rsidRDefault="00235B31" w:rsidP="00235B31">
      <w:pPr>
        <w:ind w:firstLineChars="100" w:firstLine="210"/>
        <w:jc w:val="left"/>
        <w:rPr>
          <w:szCs w:val="21"/>
        </w:rPr>
      </w:pPr>
      <w:r>
        <w:rPr>
          <w:rFonts w:hint="eastAsia"/>
          <w:szCs w:val="21"/>
        </w:rPr>
        <w:t>バイデン大統領は米国における</w:t>
      </w:r>
      <w:r>
        <w:rPr>
          <w:rFonts w:hint="eastAsia"/>
          <w:szCs w:val="21"/>
        </w:rPr>
        <w:t>DE</w:t>
      </w:r>
      <w:r>
        <w:rPr>
          <w:rFonts w:hint="eastAsia"/>
          <w:szCs w:val="21"/>
        </w:rPr>
        <w:t>＆</w:t>
      </w:r>
      <w:r>
        <w:rPr>
          <w:rFonts w:hint="eastAsia"/>
          <w:szCs w:val="21"/>
        </w:rPr>
        <w:t>I</w:t>
      </w:r>
      <w:r>
        <w:rPr>
          <w:rFonts w:hint="eastAsia"/>
          <w:szCs w:val="21"/>
        </w:rPr>
        <w:t>を推進するために、米国最大の雇用主である連邦政府自らが</w:t>
      </w:r>
      <w:r>
        <w:rPr>
          <w:rFonts w:hint="eastAsia"/>
          <w:szCs w:val="21"/>
        </w:rPr>
        <w:t>DE</w:t>
      </w:r>
      <w:r>
        <w:rPr>
          <w:rFonts w:hint="eastAsia"/>
          <w:szCs w:val="21"/>
        </w:rPr>
        <w:t>＆</w:t>
      </w:r>
      <w:r>
        <w:rPr>
          <w:rFonts w:hint="eastAsia"/>
          <w:szCs w:val="21"/>
        </w:rPr>
        <w:t>I</w:t>
      </w:r>
      <w:r>
        <w:rPr>
          <w:rFonts w:hint="eastAsia"/>
          <w:szCs w:val="21"/>
        </w:rPr>
        <w:t>のロールモデルとなるべく、人材の採用、評価、配置・昇進などについての</w:t>
      </w:r>
      <w:r>
        <w:rPr>
          <w:rFonts w:hint="eastAsia"/>
          <w:szCs w:val="21"/>
        </w:rPr>
        <w:t>DE</w:t>
      </w:r>
      <w:r>
        <w:rPr>
          <w:rFonts w:hint="eastAsia"/>
          <w:szCs w:val="21"/>
        </w:rPr>
        <w:t>＆</w:t>
      </w:r>
      <w:r>
        <w:rPr>
          <w:rFonts w:hint="eastAsia"/>
          <w:szCs w:val="21"/>
        </w:rPr>
        <w:t>I</w:t>
      </w:r>
      <w:r>
        <w:rPr>
          <w:rFonts w:hint="eastAsia"/>
          <w:szCs w:val="21"/>
        </w:rPr>
        <w:t>の方針を大統領令として</w:t>
      </w:r>
      <w:r>
        <w:rPr>
          <w:rFonts w:hint="eastAsia"/>
          <w:szCs w:val="21"/>
        </w:rPr>
        <w:t>2021</w:t>
      </w:r>
      <w:r>
        <w:rPr>
          <w:rFonts w:hint="eastAsia"/>
          <w:szCs w:val="21"/>
        </w:rPr>
        <w:t>年</w:t>
      </w:r>
      <w:r>
        <w:rPr>
          <w:rFonts w:hint="eastAsia"/>
          <w:szCs w:val="21"/>
        </w:rPr>
        <w:t>6</w:t>
      </w:r>
      <w:r>
        <w:rPr>
          <w:rFonts w:hint="eastAsia"/>
          <w:szCs w:val="21"/>
        </w:rPr>
        <w:t>月</w:t>
      </w:r>
      <w:r>
        <w:rPr>
          <w:rFonts w:hint="eastAsia"/>
          <w:szCs w:val="21"/>
        </w:rPr>
        <w:t>25</w:t>
      </w:r>
      <w:r>
        <w:rPr>
          <w:rFonts w:hint="eastAsia"/>
          <w:szCs w:val="21"/>
        </w:rPr>
        <w:t>日に発出した。</w:t>
      </w:r>
    </w:p>
    <w:p w14:paraId="5C6F6C57" w14:textId="77777777" w:rsidR="005A60C7" w:rsidRDefault="005A60C7" w:rsidP="00E837E8">
      <w:pPr>
        <w:jc w:val="left"/>
        <w:rPr>
          <w:szCs w:val="21"/>
        </w:rPr>
      </w:pPr>
    </w:p>
    <w:p w14:paraId="018937AC" w14:textId="18E7E17E" w:rsidR="00A145B9" w:rsidRPr="007A2645" w:rsidRDefault="00A145B9" w:rsidP="00CB6CEC">
      <w:pPr>
        <w:pStyle w:val="Default"/>
        <w:numPr>
          <w:ilvl w:val="0"/>
          <w:numId w:val="18"/>
        </w:numPr>
        <w:rPr>
          <w:rFonts w:hAnsi="Wingdings" w:hint="eastAsia"/>
          <w:b/>
          <w:bCs/>
          <w:sz w:val="21"/>
          <w:szCs w:val="21"/>
        </w:rPr>
      </w:pPr>
      <w:r w:rsidRPr="007A2645">
        <w:rPr>
          <w:rFonts w:hAnsi="Wingdings" w:hint="eastAsia"/>
          <w:b/>
          <w:bCs/>
          <w:sz w:val="21"/>
          <w:szCs w:val="21"/>
        </w:rPr>
        <w:t>ESG投資はウォールストリートにおいては主流だが、政治の世界では政争のテーマ</w:t>
      </w:r>
    </w:p>
    <w:p w14:paraId="71BF364E" w14:textId="67C746D4" w:rsidR="00DB1D21" w:rsidRPr="00C85E78" w:rsidRDefault="00A145B9" w:rsidP="00272376">
      <w:pPr>
        <w:pStyle w:val="Default"/>
        <w:ind w:left="4200" w:firstLine="840"/>
        <w:rPr>
          <w:rFonts w:hAnsi="Wingdings" w:hint="eastAsia"/>
          <w:b/>
          <w:bCs/>
          <w:sz w:val="21"/>
          <w:szCs w:val="21"/>
        </w:rPr>
      </w:pPr>
      <w:r w:rsidRPr="00272376">
        <w:rPr>
          <w:rFonts w:hAnsi="Wingdings" w:hint="eastAsia"/>
          <w:b/>
          <w:bCs/>
          <w:sz w:val="21"/>
          <w:szCs w:val="21"/>
        </w:rPr>
        <w:t>ソース：</w:t>
      </w:r>
      <w:r>
        <w:rPr>
          <w:rFonts w:hAnsi="Wingdings" w:hint="eastAsia"/>
          <w:sz w:val="21"/>
          <w:szCs w:val="21"/>
        </w:rPr>
        <w:t xml:space="preserve">　</w:t>
      </w:r>
      <w:r w:rsidR="00604F8B" w:rsidRPr="00C85E78">
        <w:rPr>
          <w:rFonts w:hAnsi="Wingdings" w:hint="eastAsia"/>
          <w:b/>
          <w:bCs/>
          <w:sz w:val="21"/>
          <w:szCs w:val="21"/>
        </w:rPr>
        <w:t>N</w:t>
      </w:r>
      <w:r w:rsidR="00604F8B" w:rsidRPr="00C85E78">
        <w:rPr>
          <w:rFonts w:hAnsi="Wingdings"/>
          <w:b/>
          <w:bCs/>
          <w:sz w:val="21"/>
          <w:szCs w:val="21"/>
        </w:rPr>
        <w:t>Y Times</w:t>
      </w:r>
    </w:p>
    <w:p w14:paraId="1C120EB6" w14:textId="4D1EC000" w:rsidR="00604F8B" w:rsidRDefault="00604F8B" w:rsidP="00235B31">
      <w:pPr>
        <w:pStyle w:val="Default"/>
        <w:ind w:firstLineChars="100" w:firstLine="210"/>
        <w:rPr>
          <w:rFonts w:hAnsi="Wingdings" w:hint="eastAsia"/>
          <w:sz w:val="21"/>
          <w:szCs w:val="21"/>
        </w:rPr>
      </w:pPr>
      <w:r>
        <w:rPr>
          <w:rFonts w:hAnsi="Wingdings" w:hint="eastAsia"/>
          <w:sz w:val="21"/>
          <w:szCs w:val="21"/>
        </w:rPr>
        <w:t>投資家の常識としてのESG</w:t>
      </w:r>
      <w:r w:rsidR="00A145B9">
        <w:rPr>
          <w:rFonts w:hAnsi="Wingdings" w:hint="eastAsia"/>
          <w:sz w:val="21"/>
          <w:szCs w:val="21"/>
        </w:rPr>
        <w:t>が</w:t>
      </w:r>
      <w:r>
        <w:rPr>
          <w:rFonts w:hAnsi="Wingdings" w:hint="eastAsia"/>
          <w:sz w:val="21"/>
          <w:szCs w:val="21"/>
        </w:rPr>
        <w:t>政治テーマとして</w:t>
      </w:r>
      <w:r w:rsidR="00E96CE7">
        <w:rPr>
          <w:rFonts w:hAnsi="Wingdings" w:hint="eastAsia"/>
          <w:sz w:val="21"/>
          <w:szCs w:val="21"/>
        </w:rPr>
        <w:t>目立って</w:t>
      </w:r>
      <w:r w:rsidR="00A145B9">
        <w:rPr>
          <w:rFonts w:hAnsi="Wingdings" w:hint="eastAsia"/>
          <w:sz w:val="21"/>
          <w:szCs w:val="21"/>
        </w:rPr>
        <w:t>きている。</w:t>
      </w:r>
    </w:p>
    <w:p w14:paraId="50C1D4D2" w14:textId="3821DBF9" w:rsidR="00604F8B" w:rsidRDefault="00604F8B" w:rsidP="00235B31">
      <w:pPr>
        <w:pStyle w:val="Default"/>
        <w:ind w:firstLineChars="100" w:firstLine="210"/>
        <w:rPr>
          <w:rFonts w:hAnsi="Wingdings" w:hint="eastAsia"/>
          <w:sz w:val="21"/>
          <w:szCs w:val="21"/>
        </w:rPr>
      </w:pPr>
      <w:r>
        <w:rPr>
          <w:rFonts w:hAnsi="Wingdings" w:hint="eastAsia"/>
          <w:sz w:val="21"/>
          <w:szCs w:val="21"/>
        </w:rPr>
        <w:t>今年２月末から３月初めにかけて議会上下両院はそれぞれ米国において退職金積み立て</w:t>
      </w:r>
      <w:r w:rsidR="00BE6F85">
        <w:rPr>
          <w:rFonts w:hAnsi="Wingdings" w:hint="eastAsia"/>
          <w:sz w:val="21"/>
          <w:szCs w:val="21"/>
        </w:rPr>
        <w:t>口座におけるESG投資を</w:t>
      </w:r>
      <w:r w:rsidR="00396EEA">
        <w:rPr>
          <w:rFonts w:hAnsi="Wingdings" w:hint="eastAsia"/>
          <w:sz w:val="21"/>
          <w:szCs w:val="21"/>
        </w:rPr>
        <w:t>認める労働省のルールを無効にする決議</w:t>
      </w:r>
      <w:r w:rsidR="00BE6F85">
        <w:rPr>
          <w:rFonts w:hAnsi="Wingdings" w:hint="eastAsia"/>
          <w:sz w:val="21"/>
          <w:szCs w:val="21"/>
        </w:rPr>
        <w:t>を通した。但し、バイデン大統領はこの法案を認めず署名しないという。ただ、これはESG投資絡みの政争の一端に過ぎない。</w:t>
      </w:r>
    </w:p>
    <w:p w14:paraId="44CCB4E0" w14:textId="6E6FACF3" w:rsidR="00BE6F85" w:rsidRDefault="00BE6F85" w:rsidP="00396EEA">
      <w:pPr>
        <w:pStyle w:val="Default"/>
        <w:ind w:firstLineChars="100" w:firstLine="210"/>
        <w:rPr>
          <w:rFonts w:hAnsi="Wingdings" w:hint="eastAsia"/>
          <w:sz w:val="21"/>
          <w:szCs w:val="21"/>
        </w:rPr>
      </w:pPr>
      <w:r>
        <w:rPr>
          <w:rFonts w:hAnsi="Wingdings" w:hint="eastAsia"/>
          <w:sz w:val="21"/>
          <w:szCs w:val="21"/>
        </w:rPr>
        <w:t>共和党が主導する25もの州の司法長官はバイデン政権の労働省のルールを阻止する訴訟を起こしている。さらに共和党州の財務長官は</w:t>
      </w:r>
      <w:r w:rsidR="00396EEA">
        <w:rPr>
          <w:rFonts w:hAnsi="Wingdings" w:hint="eastAsia"/>
          <w:sz w:val="21"/>
          <w:szCs w:val="21"/>
        </w:rPr>
        <w:t>、</w:t>
      </w:r>
      <w:r>
        <w:rPr>
          <w:rFonts w:hAnsi="Wingdings" w:hint="eastAsia"/>
          <w:sz w:val="21"/>
          <w:szCs w:val="21"/>
        </w:rPr>
        <w:t>ラリー・フィンクCEOが積極的にESG投資を進めるBlackRockから数億ドルもの投資を引き揚げている。</w:t>
      </w:r>
    </w:p>
    <w:p w14:paraId="004DBAAA" w14:textId="64A340E0" w:rsidR="00BE6F85" w:rsidRDefault="00CD49A4" w:rsidP="00396EEA">
      <w:pPr>
        <w:pStyle w:val="Default"/>
        <w:ind w:firstLineChars="100" w:firstLine="210"/>
        <w:rPr>
          <w:rFonts w:hAnsi="Wingdings" w:hint="eastAsia"/>
          <w:sz w:val="21"/>
          <w:szCs w:val="21"/>
        </w:rPr>
      </w:pPr>
      <w:r>
        <w:rPr>
          <w:rFonts w:hAnsi="Wingdings" w:hint="eastAsia"/>
          <w:sz w:val="21"/>
          <w:szCs w:val="21"/>
        </w:rPr>
        <w:t>上記の労働省のルールは退職金積み立て口座の運用においてESGの要因を投資判断根拠にすることを認めると共に、投資先の企業の主要な株主</w:t>
      </w:r>
      <w:r w:rsidR="00396EEA">
        <w:rPr>
          <w:rFonts w:hAnsi="Wingdings" w:hint="eastAsia"/>
          <w:sz w:val="21"/>
          <w:szCs w:val="21"/>
        </w:rPr>
        <w:t>の議決権行使</w:t>
      </w:r>
      <w:r>
        <w:rPr>
          <w:rFonts w:hAnsi="Wingdings" w:hint="eastAsia"/>
          <w:sz w:val="21"/>
          <w:szCs w:val="21"/>
        </w:rPr>
        <w:t>においてESGの原則</w:t>
      </w:r>
      <w:r>
        <w:rPr>
          <w:rFonts w:hAnsi="Wingdings" w:hint="eastAsia"/>
          <w:sz w:val="21"/>
          <w:szCs w:val="21"/>
        </w:rPr>
        <w:lastRenderedPageBreak/>
        <w:t xml:space="preserve">を根拠に投票することを容易にする。　</w:t>
      </w:r>
    </w:p>
    <w:p w14:paraId="51C000B6" w14:textId="77777777" w:rsidR="00396EEA" w:rsidRDefault="00CD49A4" w:rsidP="00396EEA">
      <w:pPr>
        <w:pStyle w:val="Default"/>
        <w:ind w:firstLineChars="100" w:firstLine="210"/>
        <w:rPr>
          <w:rFonts w:hAnsi="Wingdings" w:hint="eastAsia"/>
          <w:sz w:val="21"/>
          <w:szCs w:val="21"/>
        </w:rPr>
      </w:pPr>
      <w:r>
        <w:rPr>
          <w:rFonts w:hAnsi="Wingdings" w:hint="eastAsia"/>
          <w:sz w:val="21"/>
          <w:szCs w:val="21"/>
        </w:rPr>
        <w:t>ESGの前身は1970年代の社会的責任投資で、専ら南アフリカのアパルトヘイト</w:t>
      </w:r>
      <w:r w:rsidR="00396EEA">
        <w:rPr>
          <w:rFonts w:hAnsi="Wingdings" w:hint="eastAsia"/>
          <w:sz w:val="21"/>
          <w:szCs w:val="21"/>
        </w:rPr>
        <w:t>体制</w:t>
      </w:r>
      <w:r>
        <w:rPr>
          <w:rFonts w:hAnsi="Wingdings" w:hint="eastAsia"/>
          <w:sz w:val="21"/>
          <w:szCs w:val="21"/>
        </w:rPr>
        <w:t>からの資産の引き上げを意味していた。</w:t>
      </w:r>
    </w:p>
    <w:p w14:paraId="436DAB84" w14:textId="4222F28E" w:rsidR="00CD49A4" w:rsidRDefault="00CD49A4" w:rsidP="00396EEA">
      <w:pPr>
        <w:pStyle w:val="Default"/>
        <w:ind w:firstLineChars="100" w:firstLine="210"/>
        <w:rPr>
          <w:rFonts w:hAnsi="Wingdings" w:hint="eastAsia"/>
          <w:sz w:val="21"/>
          <w:szCs w:val="21"/>
        </w:rPr>
      </w:pPr>
      <w:r>
        <w:rPr>
          <w:rFonts w:hAnsi="Wingdings" w:hint="eastAsia"/>
          <w:sz w:val="21"/>
          <w:szCs w:val="21"/>
        </w:rPr>
        <w:t>今はサステナブル投資とも呼ばれ化石燃料に置き換わる持続可能な投資対象を求める動きとなっている。</w:t>
      </w:r>
      <w:r w:rsidR="00A91EB5">
        <w:rPr>
          <w:rFonts w:hAnsi="Wingdings" w:hint="eastAsia"/>
          <w:sz w:val="21"/>
          <w:szCs w:val="21"/>
        </w:rPr>
        <w:t>呼び名はどう変わっても、共通の考え方は、社会に影響を与え、社会から影響を与えられている企業体と言うものは単なる収益の額を超える要因に配慮しなければならないというもの。</w:t>
      </w:r>
    </w:p>
    <w:p w14:paraId="5FD379EF" w14:textId="179514E8" w:rsidR="00A91EB5" w:rsidRDefault="00A91EB5" w:rsidP="00396EEA">
      <w:pPr>
        <w:pStyle w:val="Default"/>
        <w:ind w:firstLineChars="100" w:firstLine="210"/>
        <w:rPr>
          <w:rFonts w:hAnsi="Wingdings" w:hint="eastAsia"/>
          <w:sz w:val="21"/>
          <w:szCs w:val="21"/>
        </w:rPr>
      </w:pPr>
      <w:r>
        <w:rPr>
          <w:rFonts w:hAnsi="Wingdings" w:hint="eastAsia"/>
          <w:sz w:val="21"/>
          <w:szCs w:val="21"/>
        </w:rPr>
        <w:t>この考え方が投資家に求めるものは、職場での多様性、公正性、包摂性や女性の妊娠に関するヘルスケア、そして気候変動といった問題に対象企業がどのように臨もうとしているかを良く理解したうえで賢い投資判断を行うということ。これは特に</w:t>
      </w:r>
      <w:r w:rsidR="00396EEA">
        <w:rPr>
          <w:rFonts w:hAnsi="Wingdings" w:hint="eastAsia"/>
          <w:sz w:val="21"/>
          <w:szCs w:val="21"/>
        </w:rPr>
        <w:t>顧客</w:t>
      </w:r>
      <w:r>
        <w:rPr>
          <w:rFonts w:hAnsi="Wingdings" w:hint="eastAsia"/>
          <w:sz w:val="21"/>
          <w:szCs w:val="21"/>
        </w:rPr>
        <w:t>の投資のために慎重な判断を行うべき投資信託において特に求められる。</w:t>
      </w:r>
    </w:p>
    <w:p w14:paraId="47556210" w14:textId="708953B4" w:rsidR="00A91EB5" w:rsidRDefault="0084072C" w:rsidP="00396EEA">
      <w:pPr>
        <w:pStyle w:val="Default"/>
        <w:ind w:firstLineChars="100" w:firstLine="210"/>
        <w:rPr>
          <w:rFonts w:hAnsi="Wingdings" w:hint="eastAsia"/>
          <w:sz w:val="21"/>
          <w:szCs w:val="21"/>
        </w:rPr>
      </w:pPr>
      <w:r>
        <w:rPr>
          <w:rFonts w:hAnsi="Wingdings" w:hint="eastAsia"/>
          <w:sz w:val="21"/>
          <w:szCs w:val="21"/>
        </w:rPr>
        <w:t>一方、何をもってESG的かという解釈も流動的である。極端な例としては反ESG的な象徴の武器製造企業がロシアによるウクライナ侵攻でウクライナに早急に武器供与する必要があると認識された時点でESG投資対象に入れるべきとの議論が起こった。</w:t>
      </w:r>
    </w:p>
    <w:p w14:paraId="66EF4ED9" w14:textId="77777777" w:rsidR="00396EEA" w:rsidRDefault="0084072C" w:rsidP="00396EEA">
      <w:pPr>
        <w:pStyle w:val="Default"/>
        <w:ind w:firstLineChars="100" w:firstLine="210"/>
        <w:rPr>
          <w:rFonts w:hAnsi="Wingdings" w:hint="eastAsia"/>
          <w:sz w:val="21"/>
          <w:szCs w:val="21"/>
        </w:rPr>
      </w:pPr>
      <w:r>
        <w:rPr>
          <w:rFonts w:hAnsi="Wingdings" w:hint="eastAsia"/>
          <w:sz w:val="21"/>
          <w:szCs w:val="21"/>
        </w:rPr>
        <w:t>また、電気自動車を製造するテスラはいかにもESG投資対象に見られるが、人種差別</w:t>
      </w:r>
      <w:r w:rsidR="00396EEA">
        <w:rPr>
          <w:rFonts w:hAnsi="Wingdings" w:hint="eastAsia"/>
          <w:sz w:val="21"/>
          <w:szCs w:val="21"/>
        </w:rPr>
        <w:t>問題</w:t>
      </w:r>
      <w:r>
        <w:rPr>
          <w:rFonts w:hAnsi="Wingdings" w:hint="eastAsia"/>
          <w:sz w:val="21"/>
          <w:szCs w:val="21"/>
        </w:rPr>
        <w:t>や労働環境</w:t>
      </w:r>
      <w:r w:rsidR="00396EEA">
        <w:rPr>
          <w:rFonts w:hAnsi="Wingdings" w:hint="eastAsia"/>
          <w:sz w:val="21"/>
          <w:szCs w:val="21"/>
        </w:rPr>
        <w:t>へ</w:t>
      </w:r>
      <w:r>
        <w:rPr>
          <w:rFonts w:hAnsi="Wingdings" w:hint="eastAsia"/>
          <w:sz w:val="21"/>
          <w:szCs w:val="21"/>
        </w:rPr>
        <w:t>のクレームの存在からS＆P500のESGインデックスから削除され</w:t>
      </w:r>
      <w:r w:rsidR="00396EEA">
        <w:rPr>
          <w:rFonts w:hAnsi="Wingdings" w:hint="eastAsia"/>
          <w:sz w:val="21"/>
          <w:szCs w:val="21"/>
        </w:rPr>
        <w:t>ている。</w:t>
      </w:r>
    </w:p>
    <w:p w14:paraId="136A70F3" w14:textId="5E61BF28" w:rsidR="0084072C" w:rsidRDefault="0084072C" w:rsidP="005B2171">
      <w:pPr>
        <w:pStyle w:val="Default"/>
        <w:rPr>
          <w:rFonts w:hAnsi="Wingdings" w:hint="eastAsia"/>
          <w:sz w:val="21"/>
          <w:szCs w:val="21"/>
        </w:rPr>
      </w:pPr>
      <w:r>
        <w:rPr>
          <w:rFonts w:hAnsi="Wingdings" w:hint="eastAsia"/>
          <w:sz w:val="21"/>
          <w:szCs w:val="21"/>
        </w:rPr>
        <w:t>一方、エクソンは他の石油会社よりはESG的だからという理由で同インデックスに入れられている。</w:t>
      </w:r>
    </w:p>
    <w:p w14:paraId="3867E3B1" w14:textId="32367DF1" w:rsidR="0084072C" w:rsidRDefault="0084072C" w:rsidP="00396EEA">
      <w:pPr>
        <w:pStyle w:val="Default"/>
        <w:ind w:firstLineChars="100" w:firstLine="210"/>
        <w:rPr>
          <w:rFonts w:hAnsi="Wingdings" w:hint="eastAsia"/>
          <w:sz w:val="21"/>
          <w:szCs w:val="21"/>
        </w:rPr>
      </w:pPr>
      <w:r>
        <w:rPr>
          <w:rFonts w:hAnsi="Wingdings" w:hint="eastAsia"/>
          <w:sz w:val="21"/>
          <w:szCs w:val="21"/>
        </w:rPr>
        <w:t>SEC</w:t>
      </w:r>
      <w:r w:rsidR="005A1A42">
        <w:rPr>
          <w:rFonts w:hAnsi="Wingdings" w:hint="eastAsia"/>
          <w:sz w:val="21"/>
          <w:szCs w:val="21"/>
        </w:rPr>
        <w:t>は、ファンドが自らをESGと名乗るには基本的な要件を満たす必要があるというルールを提案したところ。具体的には保有資産の80%以上をESG対象に投資している必要がある。</w:t>
      </w:r>
    </w:p>
    <w:p w14:paraId="2A673097" w14:textId="511DBAAC" w:rsidR="005A1A42" w:rsidRDefault="0055390B" w:rsidP="00396EEA">
      <w:pPr>
        <w:pStyle w:val="Default"/>
        <w:ind w:firstLineChars="100" w:firstLine="210"/>
        <w:rPr>
          <w:rFonts w:hAnsi="Wingdings" w:hint="eastAsia"/>
          <w:sz w:val="21"/>
          <w:szCs w:val="21"/>
        </w:rPr>
      </w:pPr>
      <w:r>
        <w:rPr>
          <w:rFonts w:hAnsi="Wingdings" w:hint="eastAsia"/>
          <w:sz w:val="21"/>
          <w:szCs w:val="21"/>
        </w:rPr>
        <w:t>“グリーンウォッシュ”が目立った2020年頃の調査ではESG投資額は17.1兆ドルあったが、昨年は8.4兆ドルとなっている。人気が落ちたというよりは市場が成熟し、慎重かつ正確に投資がなされているとみられる。</w:t>
      </w:r>
    </w:p>
    <w:p w14:paraId="4125D96B" w14:textId="7239C69F" w:rsidR="0055390B" w:rsidRDefault="0055390B" w:rsidP="00CB6CEC">
      <w:pPr>
        <w:pStyle w:val="Default"/>
        <w:ind w:firstLineChars="100" w:firstLine="210"/>
        <w:rPr>
          <w:rFonts w:hAnsi="Wingdings" w:hint="eastAsia"/>
          <w:sz w:val="21"/>
          <w:szCs w:val="21"/>
        </w:rPr>
      </w:pPr>
      <w:r>
        <w:rPr>
          <w:rFonts w:hAnsi="Wingdings" w:hint="eastAsia"/>
          <w:sz w:val="21"/>
          <w:szCs w:val="21"/>
        </w:rPr>
        <w:t>トランプ政権時、労働長官は最高裁判事の一人のアントニン・スカリア氏の息子のユージーン・スカリア氏で、父親譲りの保守系、企業寄り、反規制の政策をとった。退職積立金運用者が運用選択肢の中にESG投資を含むことを困難にするルールをつくったりもした。</w:t>
      </w:r>
      <w:r w:rsidR="00A61F1E">
        <w:rPr>
          <w:rFonts w:hAnsi="Wingdings" w:hint="eastAsia"/>
          <w:sz w:val="21"/>
          <w:szCs w:val="21"/>
        </w:rPr>
        <w:t>また、信託投資会社が株主</w:t>
      </w:r>
      <w:r w:rsidR="00CB6CEC">
        <w:rPr>
          <w:rFonts w:hAnsi="Wingdings" w:hint="eastAsia"/>
          <w:sz w:val="21"/>
          <w:szCs w:val="21"/>
        </w:rPr>
        <w:t>の議決権行使</w:t>
      </w:r>
      <w:r w:rsidR="00A61F1E">
        <w:rPr>
          <w:rFonts w:hAnsi="Wingdings" w:hint="eastAsia"/>
          <w:sz w:val="21"/>
          <w:szCs w:val="21"/>
        </w:rPr>
        <w:t>で代理投票をすることを求めないと解釈される</w:t>
      </w:r>
      <w:r w:rsidR="00CB6CEC">
        <w:rPr>
          <w:rFonts w:hAnsi="Wingdings" w:hint="eastAsia"/>
          <w:sz w:val="21"/>
          <w:szCs w:val="21"/>
        </w:rPr>
        <w:t>ルール</w:t>
      </w:r>
      <w:r w:rsidR="00A61F1E">
        <w:rPr>
          <w:rFonts w:hAnsi="Wingdings" w:hint="eastAsia"/>
          <w:sz w:val="21"/>
          <w:szCs w:val="21"/>
        </w:rPr>
        <w:t>でもあった。</w:t>
      </w:r>
    </w:p>
    <w:p w14:paraId="0A501735" w14:textId="390A5B33" w:rsidR="00A61F1E" w:rsidRDefault="00A61F1E" w:rsidP="00CB6CEC">
      <w:pPr>
        <w:pStyle w:val="Default"/>
        <w:ind w:firstLineChars="100" w:firstLine="210"/>
        <w:rPr>
          <w:rFonts w:hAnsi="Wingdings" w:hint="eastAsia"/>
          <w:sz w:val="21"/>
          <w:szCs w:val="21"/>
        </w:rPr>
      </w:pPr>
      <w:r>
        <w:rPr>
          <w:rFonts w:hAnsi="Wingdings" w:hint="eastAsia"/>
          <w:sz w:val="21"/>
          <w:szCs w:val="21"/>
        </w:rPr>
        <w:t>バイデン政権はこのルールを逆転させ、議会はそれをまた逆転させようとし、裁判所ではこのバイデンのルールに対する訴訟がなされている。</w:t>
      </w:r>
    </w:p>
    <w:p w14:paraId="50A51468" w14:textId="2B6D55A3" w:rsidR="00A61F1E" w:rsidRDefault="00A61F1E" w:rsidP="00CB6CEC">
      <w:pPr>
        <w:pStyle w:val="Default"/>
        <w:ind w:firstLineChars="100" w:firstLine="210"/>
        <w:rPr>
          <w:rFonts w:hAnsi="Wingdings" w:hint="eastAsia"/>
          <w:sz w:val="21"/>
          <w:szCs w:val="21"/>
        </w:rPr>
      </w:pPr>
      <w:r>
        <w:rPr>
          <w:rFonts w:hAnsi="Wingdings" w:hint="eastAsia"/>
          <w:sz w:val="21"/>
          <w:szCs w:val="21"/>
        </w:rPr>
        <w:t>こうした政争はESG投資や株主の</w:t>
      </w:r>
      <w:r w:rsidR="00CB6CEC">
        <w:rPr>
          <w:rFonts w:hAnsi="Wingdings" w:hint="eastAsia"/>
          <w:sz w:val="21"/>
          <w:szCs w:val="21"/>
        </w:rPr>
        <w:t>議決権行使の</w:t>
      </w:r>
      <w:r>
        <w:rPr>
          <w:rFonts w:hAnsi="Wingdings" w:hint="eastAsia"/>
          <w:sz w:val="21"/>
          <w:szCs w:val="21"/>
        </w:rPr>
        <w:t>抵抗となっていることは事実。一方、VanguardやBlackRockそしてState Streetの大手ファンド企業は”</w:t>
      </w:r>
      <w:r>
        <w:rPr>
          <w:rFonts w:hAnsi="Wingdings"/>
          <w:sz w:val="21"/>
          <w:szCs w:val="21"/>
        </w:rPr>
        <w:t>pass through voting</w:t>
      </w:r>
      <w:r>
        <w:rPr>
          <w:rFonts w:hAnsi="Wingdings" w:hint="eastAsia"/>
          <w:sz w:val="21"/>
          <w:szCs w:val="21"/>
        </w:rPr>
        <w:t>”という試みを実験中で、これは彼らが投資を引き受けている株主に自由意思で投票させるもの。</w:t>
      </w:r>
    </w:p>
    <w:p w14:paraId="325B7174" w14:textId="09328517" w:rsidR="00A61F1E" w:rsidRDefault="00A61F1E" w:rsidP="00CB6CEC">
      <w:pPr>
        <w:pStyle w:val="Default"/>
        <w:ind w:firstLineChars="100" w:firstLine="210"/>
        <w:rPr>
          <w:rFonts w:hAnsi="Wingdings" w:hint="eastAsia"/>
          <w:sz w:val="21"/>
          <w:szCs w:val="21"/>
        </w:rPr>
      </w:pPr>
      <w:r>
        <w:rPr>
          <w:rFonts w:hAnsi="Wingdings" w:hint="eastAsia"/>
          <w:sz w:val="21"/>
          <w:szCs w:val="21"/>
        </w:rPr>
        <w:t>これらファンドは通常投資先の最大の株主であるが、従来の株主代理投票では基本的に</w:t>
      </w:r>
      <w:r>
        <w:rPr>
          <w:rFonts w:hAnsi="Wingdings" w:hint="eastAsia"/>
          <w:sz w:val="21"/>
          <w:szCs w:val="21"/>
        </w:rPr>
        <w:lastRenderedPageBreak/>
        <w:t>経営陣の政策を</w:t>
      </w:r>
      <w:r w:rsidR="00714F9E">
        <w:rPr>
          <w:rFonts w:hAnsi="Wingdings" w:hint="eastAsia"/>
          <w:sz w:val="21"/>
          <w:szCs w:val="21"/>
        </w:rPr>
        <w:t>支持</w:t>
      </w:r>
      <w:r>
        <w:rPr>
          <w:rFonts w:hAnsi="Wingdings" w:hint="eastAsia"/>
          <w:sz w:val="21"/>
          <w:szCs w:val="21"/>
        </w:rPr>
        <w:t>していた。ただ、この実験の結果では違った株主判断が出かねない。</w:t>
      </w:r>
    </w:p>
    <w:p w14:paraId="19917D24" w14:textId="4DB45CDC" w:rsidR="0084072C" w:rsidRDefault="00A61F1E" w:rsidP="00846D10">
      <w:pPr>
        <w:pStyle w:val="Default"/>
        <w:ind w:firstLineChars="100" w:firstLine="210"/>
        <w:rPr>
          <w:rFonts w:hAnsi="Wingdings" w:hint="eastAsia"/>
          <w:sz w:val="21"/>
          <w:szCs w:val="21"/>
        </w:rPr>
      </w:pPr>
      <w:r>
        <w:rPr>
          <w:rFonts w:hAnsi="Wingdings" w:hint="eastAsia"/>
          <w:sz w:val="21"/>
          <w:szCs w:val="21"/>
        </w:rPr>
        <w:t>これを推進する政治と阻止する政治の動きの</w:t>
      </w:r>
      <w:r w:rsidR="00CF5F5F">
        <w:rPr>
          <w:rFonts w:hAnsi="Wingdings" w:hint="eastAsia"/>
          <w:sz w:val="21"/>
          <w:szCs w:val="21"/>
        </w:rPr>
        <w:t>ぶつかり合いが見込まれる。</w:t>
      </w:r>
    </w:p>
    <w:p w14:paraId="19BE2E2C" w14:textId="77777777" w:rsidR="000F4DE6" w:rsidRDefault="000F4DE6" w:rsidP="005B2171">
      <w:pPr>
        <w:pStyle w:val="Default"/>
        <w:rPr>
          <w:rFonts w:hAnsi="Wingdings" w:hint="eastAsia"/>
          <w:sz w:val="21"/>
          <w:szCs w:val="21"/>
        </w:rPr>
      </w:pPr>
    </w:p>
    <w:p w14:paraId="0D381127" w14:textId="211D514E" w:rsidR="00A91EB5" w:rsidRPr="00E97F86" w:rsidRDefault="00A145B9" w:rsidP="00CB6CEC">
      <w:pPr>
        <w:pStyle w:val="Default"/>
        <w:numPr>
          <w:ilvl w:val="0"/>
          <w:numId w:val="18"/>
        </w:numPr>
        <w:rPr>
          <w:rFonts w:hAnsi="Wingdings" w:hint="eastAsia"/>
          <w:b/>
          <w:bCs/>
          <w:sz w:val="21"/>
          <w:szCs w:val="21"/>
        </w:rPr>
      </w:pPr>
      <w:r w:rsidRPr="00E97F86">
        <w:rPr>
          <w:rFonts w:hAnsi="Wingdings" w:hint="eastAsia"/>
          <w:b/>
          <w:bCs/>
          <w:sz w:val="21"/>
          <w:szCs w:val="21"/>
        </w:rPr>
        <w:t>なぜ保守派はそこまでESGを嫌うのか</w:t>
      </w:r>
      <w:r w:rsidRPr="00E97F86">
        <w:rPr>
          <w:rFonts w:hAnsi="Wingdings"/>
          <w:b/>
          <w:bCs/>
          <w:sz w:val="21"/>
          <w:szCs w:val="21"/>
        </w:rPr>
        <w:tab/>
      </w:r>
      <w:r w:rsidRPr="00E97F86">
        <w:rPr>
          <w:rFonts w:hAnsi="Wingdings" w:hint="eastAsia"/>
          <w:b/>
          <w:bCs/>
          <w:sz w:val="21"/>
          <w:szCs w:val="21"/>
        </w:rPr>
        <w:t>ソース：ワシントンポスト</w:t>
      </w:r>
    </w:p>
    <w:p w14:paraId="0D5EBA90" w14:textId="77777777" w:rsidR="00A145B9" w:rsidRDefault="00A145B9" w:rsidP="005B2171">
      <w:pPr>
        <w:pStyle w:val="Default"/>
        <w:rPr>
          <w:rFonts w:hAnsi="Wingdings" w:hint="eastAsia"/>
          <w:sz w:val="21"/>
          <w:szCs w:val="21"/>
        </w:rPr>
      </w:pPr>
    </w:p>
    <w:p w14:paraId="42E36028" w14:textId="1730E20A" w:rsidR="00A145B9" w:rsidRDefault="00A145B9" w:rsidP="00CB6CEC">
      <w:pPr>
        <w:pStyle w:val="Default"/>
        <w:ind w:firstLineChars="100" w:firstLine="210"/>
        <w:rPr>
          <w:rFonts w:hAnsi="Wingdings" w:hint="eastAsia"/>
          <w:sz w:val="21"/>
          <w:szCs w:val="21"/>
        </w:rPr>
      </w:pPr>
      <w:r>
        <w:rPr>
          <w:rFonts w:hAnsi="Wingdings" w:hint="eastAsia"/>
          <w:sz w:val="21"/>
          <w:szCs w:val="21"/>
        </w:rPr>
        <w:t>連邦</w:t>
      </w:r>
      <w:r w:rsidR="00CB6CEC">
        <w:rPr>
          <w:rFonts w:hAnsi="Wingdings" w:hint="eastAsia"/>
          <w:sz w:val="21"/>
          <w:szCs w:val="21"/>
        </w:rPr>
        <w:t>下院</w:t>
      </w:r>
      <w:r>
        <w:rPr>
          <w:rFonts w:hAnsi="Wingdings" w:hint="eastAsia"/>
          <w:sz w:val="21"/>
          <w:szCs w:val="21"/>
        </w:rPr>
        <w:t>議会与党共和党は7月の殆どを</w:t>
      </w:r>
      <w:r w:rsidR="002305CE">
        <w:rPr>
          <w:rFonts w:hAnsi="Wingdings" w:hint="eastAsia"/>
          <w:sz w:val="21"/>
          <w:szCs w:val="21"/>
        </w:rPr>
        <w:t>企業の</w:t>
      </w:r>
      <w:r>
        <w:rPr>
          <w:rFonts w:hAnsi="Wingdings" w:hint="eastAsia"/>
          <w:sz w:val="21"/>
          <w:szCs w:val="21"/>
        </w:rPr>
        <w:t>気候変動リスク</w:t>
      </w:r>
      <w:r w:rsidR="002305CE">
        <w:rPr>
          <w:rFonts w:hAnsi="Wingdings" w:hint="eastAsia"/>
          <w:sz w:val="21"/>
          <w:szCs w:val="21"/>
        </w:rPr>
        <w:t>に関する透明性を求め、投資家に自由度を与えることを制限する法案作りに費やした。　ある共和党議員はアセットマネージャーが気候変動リスクを考慮することはサタン（魔王）の企てだとまで語る。</w:t>
      </w:r>
    </w:p>
    <w:p w14:paraId="7D975E2B" w14:textId="1B1E7215" w:rsidR="002305CE" w:rsidRDefault="002305CE" w:rsidP="00CB6CEC">
      <w:pPr>
        <w:pStyle w:val="Default"/>
        <w:ind w:firstLineChars="100" w:firstLine="210"/>
        <w:rPr>
          <w:rFonts w:hAnsi="Wingdings" w:hint="eastAsia"/>
          <w:sz w:val="21"/>
          <w:szCs w:val="21"/>
        </w:rPr>
      </w:pPr>
      <w:r>
        <w:rPr>
          <w:rFonts w:hAnsi="Wingdings" w:hint="eastAsia"/>
          <w:sz w:val="21"/>
          <w:szCs w:val="21"/>
        </w:rPr>
        <w:t>同法案ではファンドが気候変動リスクを考慮することを禁じ、株主の</w:t>
      </w:r>
      <w:r w:rsidR="00E96CE7">
        <w:rPr>
          <w:rFonts w:hAnsi="Wingdings" w:hint="eastAsia"/>
          <w:sz w:val="21"/>
          <w:szCs w:val="21"/>
        </w:rPr>
        <w:t>委任議決</w:t>
      </w:r>
      <w:r>
        <w:rPr>
          <w:rFonts w:hAnsi="Wingdings" w:hint="eastAsia"/>
          <w:sz w:val="21"/>
          <w:szCs w:val="21"/>
        </w:rPr>
        <w:t>権を制限することで企業経営者の責任を追及する機会を制限、さらに企業統治に関する株主決議を制限しようとする。</w:t>
      </w:r>
    </w:p>
    <w:p w14:paraId="7EF1A55D" w14:textId="33B4D4AC" w:rsidR="002305CE" w:rsidRDefault="002305CE" w:rsidP="00CB6CEC">
      <w:pPr>
        <w:pStyle w:val="Default"/>
        <w:ind w:firstLineChars="100" w:firstLine="210"/>
        <w:rPr>
          <w:rFonts w:hAnsi="Wingdings" w:hint="eastAsia"/>
          <w:sz w:val="21"/>
          <w:szCs w:val="21"/>
        </w:rPr>
      </w:pPr>
      <w:r>
        <w:rPr>
          <w:rFonts w:hAnsi="Wingdings" w:hint="eastAsia"/>
          <w:sz w:val="21"/>
          <w:szCs w:val="21"/>
        </w:rPr>
        <w:t>石油会社やその他化石燃料関連企業は数千万ドルをロビーイング活動に投じてこの共和党の反ESGの動きを支えている。</w:t>
      </w:r>
    </w:p>
    <w:p w14:paraId="34061879" w14:textId="495C52CE" w:rsidR="00F925EC" w:rsidRDefault="00F925EC" w:rsidP="00CB6CEC">
      <w:pPr>
        <w:pStyle w:val="Default"/>
        <w:ind w:firstLineChars="100" w:firstLine="210"/>
        <w:rPr>
          <w:rFonts w:hAnsi="Wingdings" w:hint="eastAsia"/>
          <w:sz w:val="21"/>
          <w:szCs w:val="21"/>
        </w:rPr>
      </w:pPr>
      <w:r w:rsidRPr="00F925EC">
        <w:rPr>
          <w:rFonts w:hAnsi="Wingdings" w:hint="eastAsia"/>
          <w:sz w:val="21"/>
          <w:szCs w:val="21"/>
        </w:rPr>
        <w:t>米国海洋大気圏局</w:t>
      </w:r>
      <w:r>
        <w:rPr>
          <w:rFonts w:hAnsi="Wingdings" w:hint="eastAsia"/>
          <w:sz w:val="21"/>
          <w:szCs w:val="21"/>
        </w:rPr>
        <w:t>（NOAA）によれば気候変動関連の自然災害の損害額は昨年1,650億</w:t>
      </w:r>
      <w:r w:rsidR="00CB6CEC">
        <w:rPr>
          <w:rFonts w:hAnsi="Wingdings" w:hint="eastAsia"/>
          <w:sz w:val="21"/>
          <w:szCs w:val="21"/>
        </w:rPr>
        <w:t xml:space="preserve">　</w:t>
      </w:r>
      <w:r>
        <w:rPr>
          <w:rFonts w:hAnsi="Wingdings" w:hint="eastAsia"/>
          <w:sz w:val="21"/>
          <w:szCs w:val="21"/>
        </w:rPr>
        <w:t>ドルにのぼった。</w:t>
      </w:r>
    </w:p>
    <w:p w14:paraId="3EA1BF38" w14:textId="424D7BE5" w:rsidR="00F925EC" w:rsidRDefault="00F925EC" w:rsidP="00CB6CEC">
      <w:pPr>
        <w:pStyle w:val="Default"/>
        <w:ind w:firstLineChars="100" w:firstLine="210"/>
        <w:rPr>
          <w:rFonts w:hAnsi="Wingdings" w:hint="eastAsia"/>
          <w:sz w:val="21"/>
          <w:szCs w:val="21"/>
        </w:rPr>
      </w:pPr>
      <w:r>
        <w:rPr>
          <w:rFonts w:hAnsi="Wingdings" w:hint="eastAsia"/>
          <w:sz w:val="21"/>
          <w:szCs w:val="21"/>
        </w:rPr>
        <w:t>州単位で</w:t>
      </w:r>
      <w:r w:rsidR="00CB6CEC">
        <w:rPr>
          <w:rFonts w:hAnsi="Wingdings" w:hint="eastAsia"/>
          <w:sz w:val="21"/>
          <w:szCs w:val="21"/>
        </w:rPr>
        <w:t>投資家に</w:t>
      </w:r>
      <w:r>
        <w:rPr>
          <w:rFonts w:hAnsi="Wingdings" w:hint="eastAsia"/>
          <w:sz w:val="21"/>
          <w:szCs w:val="21"/>
        </w:rPr>
        <w:t>この手の人為的制限を加えることでも個別の影響が見込まれている。例えばテキサス州では年間5億3,200万ドルの金利費用増が州民の税負担となり</w:t>
      </w:r>
      <w:r w:rsidR="0062540B">
        <w:rPr>
          <w:rStyle w:val="ac"/>
          <w:rFonts w:hAnsi="Wingdings" w:hint="eastAsia"/>
          <w:sz w:val="21"/>
          <w:szCs w:val="21"/>
        </w:rPr>
        <w:footnoteReference w:id="5"/>
      </w:r>
      <w:r>
        <w:rPr>
          <w:rFonts w:hAnsi="Wingdings" w:hint="eastAsia"/>
          <w:sz w:val="21"/>
          <w:szCs w:val="21"/>
        </w:rPr>
        <w:t>、同様にケンタッキー、フロリダ、ルイジアナ、オクラホマ、ウェストバージニア及びミズリーの6つの州でも金利増に伴う7億ドルもの税負担となる。</w:t>
      </w:r>
    </w:p>
    <w:p w14:paraId="6A43CFE8" w14:textId="29768521" w:rsidR="00F925EC" w:rsidRDefault="00F925EC" w:rsidP="00846D10">
      <w:pPr>
        <w:pStyle w:val="Default"/>
        <w:ind w:firstLineChars="100" w:firstLine="210"/>
        <w:rPr>
          <w:rFonts w:hAnsi="Wingdings" w:hint="eastAsia"/>
          <w:sz w:val="21"/>
          <w:szCs w:val="21"/>
        </w:rPr>
      </w:pPr>
      <w:r>
        <w:rPr>
          <w:rFonts w:hAnsi="Wingdings" w:hint="eastAsia"/>
          <w:sz w:val="21"/>
          <w:szCs w:val="21"/>
        </w:rPr>
        <w:t>インディアナ州では州の年金基金の運用益が67億ドル減少し、アーカンソー州では公的従事者退職システムが年3千乃至4千</w:t>
      </w:r>
      <w:r w:rsidR="00846D10">
        <w:rPr>
          <w:rFonts w:hAnsi="Wingdings" w:hint="eastAsia"/>
          <w:sz w:val="21"/>
          <w:szCs w:val="21"/>
        </w:rPr>
        <w:t>万</w:t>
      </w:r>
      <w:r>
        <w:rPr>
          <w:rFonts w:hAnsi="Wingdings" w:hint="eastAsia"/>
          <w:sz w:val="21"/>
          <w:szCs w:val="21"/>
        </w:rPr>
        <w:t>ドルの運用益減を見込む。</w:t>
      </w:r>
    </w:p>
    <w:p w14:paraId="2F46872F" w14:textId="0F032FDF" w:rsidR="00BE6F85" w:rsidRDefault="0062540B" w:rsidP="005B2171">
      <w:pPr>
        <w:pStyle w:val="Default"/>
        <w:rPr>
          <w:rFonts w:hAnsi="Wingdings" w:hint="eastAsia"/>
          <w:sz w:val="21"/>
          <w:szCs w:val="21"/>
        </w:rPr>
      </w:pPr>
      <w:r>
        <w:rPr>
          <w:rFonts w:hAnsi="Wingdings" w:hint="eastAsia"/>
          <w:sz w:val="21"/>
          <w:szCs w:val="21"/>
        </w:rPr>
        <w:t>特にフロリダ州の反ESGは目立ち、米国の中でも最も反ESG的州法を通している。例えば州内の銀行には化石燃料関連企業や民間刑務所、武器の製造及び販売企業に融資を義務付ける州法もある。</w:t>
      </w:r>
    </w:p>
    <w:p w14:paraId="05E0CD19" w14:textId="742035CF" w:rsidR="0062540B" w:rsidRDefault="0062540B" w:rsidP="00846D10">
      <w:pPr>
        <w:pStyle w:val="Default"/>
        <w:ind w:firstLineChars="100" w:firstLine="210"/>
        <w:rPr>
          <w:rFonts w:hAnsi="Wingdings" w:hint="eastAsia"/>
          <w:sz w:val="21"/>
          <w:szCs w:val="21"/>
        </w:rPr>
      </w:pPr>
      <w:r>
        <w:rPr>
          <w:rFonts w:hAnsi="Wingdings" w:hint="eastAsia"/>
          <w:sz w:val="21"/>
          <w:szCs w:val="21"/>
        </w:rPr>
        <w:t>市町村、州、そして連邦政府の保守派が連携した反ESGの動きとなっている。</w:t>
      </w:r>
    </w:p>
    <w:p w14:paraId="1EC7A49B" w14:textId="77777777" w:rsidR="00E97F86" w:rsidRDefault="00E97F86" w:rsidP="005B2171">
      <w:pPr>
        <w:pStyle w:val="Default"/>
        <w:rPr>
          <w:rFonts w:hAnsi="Wingdings" w:hint="eastAsia"/>
          <w:sz w:val="21"/>
          <w:szCs w:val="21"/>
        </w:rPr>
      </w:pPr>
    </w:p>
    <w:p w14:paraId="76C8DB52" w14:textId="4DF892F2" w:rsidR="0062540B" w:rsidRPr="0062540B" w:rsidRDefault="0062540B" w:rsidP="00846D10">
      <w:pPr>
        <w:pStyle w:val="Default"/>
        <w:numPr>
          <w:ilvl w:val="0"/>
          <w:numId w:val="18"/>
        </w:numPr>
        <w:rPr>
          <w:rFonts w:hAnsi="Wingdings" w:hint="eastAsia"/>
          <w:b/>
          <w:bCs/>
          <w:sz w:val="21"/>
          <w:szCs w:val="21"/>
        </w:rPr>
      </w:pPr>
      <w:r w:rsidRPr="0062540B">
        <w:rPr>
          <w:rFonts w:hAnsi="Wingdings" w:hint="eastAsia"/>
          <w:b/>
          <w:bCs/>
          <w:sz w:val="21"/>
          <w:szCs w:val="21"/>
        </w:rPr>
        <w:t>投資家の納得を得にくい反ESGファンド</w:t>
      </w:r>
      <w:r w:rsidRPr="0062540B">
        <w:rPr>
          <w:rFonts w:hAnsi="Wingdings"/>
          <w:b/>
          <w:bCs/>
          <w:sz w:val="21"/>
          <w:szCs w:val="21"/>
        </w:rPr>
        <w:tab/>
      </w:r>
      <w:r w:rsidRPr="0062540B">
        <w:rPr>
          <w:rFonts w:hAnsi="Wingdings" w:hint="eastAsia"/>
          <w:b/>
          <w:bCs/>
          <w:sz w:val="21"/>
          <w:szCs w:val="21"/>
        </w:rPr>
        <w:t>ソース：ウォールストリートジャーナル</w:t>
      </w:r>
    </w:p>
    <w:p w14:paraId="19BDB59A" w14:textId="77777777" w:rsidR="0062540B" w:rsidRPr="00A91EB5" w:rsidRDefault="0062540B" w:rsidP="005B2171">
      <w:pPr>
        <w:pStyle w:val="Default"/>
        <w:rPr>
          <w:rFonts w:hAnsi="Wingdings" w:hint="eastAsia"/>
          <w:sz w:val="21"/>
          <w:szCs w:val="21"/>
        </w:rPr>
      </w:pPr>
    </w:p>
    <w:p w14:paraId="64B200EF" w14:textId="04BA6638" w:rsidR="00604F8B" w:rsidRDefault="0062540B" w:rsidP="00846D10">
      <w:pPr>
        <w:pStyle w:val="Default"/>
        <w:ind w:firstLineChars="100" w:firstLine="210"/>
        <w:rPr>
          <w:rFonts w:hAnsi="Wingdings" w:hint="eastAsia"/>
          <w:sz w:val="21"/>
          <w:szCs w:val="21"/>
        </w:rPr>
      </w:pPr>
      <w:r>
        <w:rPr>
          <w:rFonts w:hAnsi="Wingdings" w:hint="eastAsia"/>
          <w:sz w:val="21"/>
          <w:szCs w:val="21"/>
        </w:rPr>
        <w:t>米国内の保守系の反ESGの動きに乗じ、反ESGファンドと称するファンドが生まれているが、その資産構成や</w:t>
      </w:r>
      <w:r w:rsidR="00953EF8">
        <w:rPr>
          <w:rFonts w:hAnsi="Wingdings" w:hint="eastAsia"/>
          <w:sz w:val="21"/>
          <w:szCs w:val="21"/>
        </w:rPr>
        <w:t>投資戦略が不透明で投資家の納得を得られていない。</w:t>
      </w:r>
    </w:p>
    <w:p w14:paraId="7F246F43" w14:textId="61559C21" w:rsidR="00953EF8" w:rsidRDefault="00953EF8" w:rsidP="00846D10">
      <w:pPr>
        <w:pStyle w:val="Default"/>
        <w:ind w:firstLineChars="100" w:firstLine="210"/>
        <w:rPr>
          <w:rFonts w:hAnsi="Wingdings" w:hint="eastAsia"/>
          <w:sz w:val="21"/>
          <w:szCs w:val="21"/>
        </w:rPr>
      </w:pPr>
      <w:r>
        <w:rPr>
          <w:rFonts w:hAnsi="Wingdings" w:hint="eastAsia"/>
          <w:sz w:val="21"/>
          <w:szCs w:val="21"/>
        </w:rPr>
        <w:t>今年6月30日時点で27のファンドが反ESGファンドと称しているが、規模は全部合わせても24.2億ドルと小さい。一方、ESG投資をうたっているファンドの総額は3,134億ドルとなっている。</w:t>
      </w:r>
    </w:p>
    <w:p w14:paraId="1C2B2F08" w14:textId="258A86B2" w:rsidR="00953EF8" w:rsidRDefault="00953EF8" w:rsidP="00846D10">
      <w:pPr>
        <w:pStyle w:val="Default"/>
        <w:ind w:firstLineChars="100" w:firstLine="210"/>
        <w:rPr>
          <w:rFonts w:hAnsi="Wingdings" w:hint="eastAsia"/>
          <w:sz w:val="21"/>
          <w:szCs w:val="21"/>
        </w:rPr>
      </w:pPr>
      <w:r>
        <w:rPr>
          <w:rFonts w:hAnsi="Wingdings" w:hint="eastAsia"/>
          <w:sz w:val="21"/>
          <w:szCs w:val="21"/>
        </w:rPr>
        <w:t>反ESGファンドの１つGod Bless America ETFは昨年9月に立ち上げられ、そのウェブサイトには“市場価値10億ドル以上の企業で、左派・リベラルな政治的活動や社会的アジェ</w:t>
      </w:r>
      <w:r>
        <w:rPr>
          <w:rFonts w:hAnsi="Wingdings" w:hint="eastAsia"/>
          <w:sz w:val="21"/>
          <w:szCs w:val="21"/>
        </w:rPr>
        <w:lastRenderedPageBreak/>
        <w:t>ンダを掲げ投資家の利益を最大化していない企業を除く”というスローガンを掲げている。</w:t>
      </w:r>
    </w:p>
    <w:p w14:paraId="18A74CF9" w14:textId="5DD1F026" w:rsidR="0062540B" w:rsidRDefault="00C05452" w:rsidP="00846D10">
      <w:pPr>
        <w:pStyle w:val="Default"/>
        <w:ind w:firstLineChars="100" w:firstLine="210"/>
        <w:rPr>
          <w:rFonts w:hAnsi="Wingdings" w:hint="eastAsia"/>
          <w:sz w:val="21"/>
          <w:szCs w:val="21"/>
        </w:rPr>
      </w:pPr>
      <w:r>
        <w:rPr>
          <w:rFonts w:hAnsi="Wingdings" w:hint="eastAsia"/>
          <w:sz w:val="21"/>
          <w:szCs w:val="21"/>
        </w:rPr>
        <w:t>またAmerican Conservative Values ETFではS＆P500企業の中でもウォルトディズニーやコカ・コーラなど34社を左翼指向企業としてボイコットリストに載せている。</w:t>
      </w:r>
    </w:p>
    <w:p w14:paraId="6D830CD4" w14:textId="2A363EEA" w:rsidR="00C05452" w:rsidRDefault="00C05452" w:rsidP="00846D10">
      <w:pPr>
        <w:pStyle w:val="Default"/>
        <w:ind w:firstLineChars="100" w:firstLine="210"/>
        <w:rPr>
          <w:rFonts w:hAnsi="Wingdings" w:hint="eastAsia"/>
          <w:sz w:val="21"/>
          <w:szCs w:val="21"/>
        </w:rPr>
      </w:pPr>
      <w:r>
        <w:rPr>
          <w:rFonts w:hAnsi="Wingdings" w:hint="eastAsia"/>
          <w:sz w:val="21"/>
          <w:szCs w:val="21"/>
        </w:rPr>
        <w:t>中にはESGファンドがボイコットするギャンブルやタバコ、防衛機器に関する企業にのみ投資する反ESGファンドもある。</w:t>
      </w:r>
    </w:p>
    <w:p w14:paraId="0949688A" w14:textId="542A36D0" w:rsidR="00C05452" w:rsidRDefault="00C05452" w:rsidP="00846D10">
      <w:pPr>
        <w:pStyle w:val="Default"/>
        <w:ind w:firstLineChars="100" w:firstLine="210"/>
        <w:rPr>
          <w:rFonts w:hAnsi="Wingdings" w:hint="eastAsia"/>
          <w:sz w:val="21"/>
          <w:szCs w:val="21"/>
        </w:rPr>
      </w:pPr>
      <w:r>
        <w:rPr>
          <w:rFonts w:hAnsi="Wingdings" w:hint="eastAsia"/>
          <w:sz w:val="21"/>
          <w:szCs w:val="21"/>
        </w:rPr>
        <w:t>ESGファンドが、企業の様々なESGリスクを考慮したうえで価値判断を行うのに対し、反ESGファンドは対象企業に関する記事やウェブサイト、企業広告などでのメッセージに</w:t>
      </w:r>
      <w:r w:rsidR="00846D10">
        <w:rPr>
          <w:rFonts w:hAnsi="Wingdings" w:hint="eastAsia"/>
          <w:sz w:val="21"/>
          <w:szCs w:val="21"/>
        </w:rPr>
        <w:t xml:space="preserve">　</w:t>
      </w:r>
      <w:r>
        <w:rPr>
          <w:rFonts w:hAnsi="Wingdings" w:hint="eastAsia"/>
          <w:sz w:val="21"/>
          <w:szCs w:val="21"/>
        </w:rPr>
        <w:t>左翼指向があるかどうかという市場</w:t>
      </w:r>
      <w:r w:rsidR="003D01D3">
        <w:rPr>
          <w:rFonts w:hAnsi="Wingdings" w:hint="eastAsia"/>
          <w:sz w:val="21"/>
          <w:szCs w:val="21"/>
        </w:rPr>
        <w:t>価値</w:t>
      </w:r>
      <w:r>
        <w:rPr>
          <w:rFonts w:hAnsi="Wingdings" w:hint="eastAsia"/>
          <w:sz w:val="21"/>
          <w:szCs w:val="21"/>
        </w:rPr>
        <w:t>とは</w:t>
      </w:r>
      <w:r w:rsidR="003D01D3">
        <w:rPr>
          <w:rFonts w:hAnsi="Wingdings" w:hint="eastAsia"/>
          <w:sz w:val="21"/>
          <w:szCs w:val="21"/>
        </w:rPr>
        <w:t>直接</w:t>
      </w:r>
      <w:r>
        <w:rPr>
          <w:rFonts w:hAnsi="Wingdings" w:hint="eastAsia"/>
          <w:sz w:val="21"/>
          <w:szCs w:val="21"/>
        </w:rPr>
        <w:t>関係の無い判断が加わるところに一般の</w:t>
      </w:r>
      <w:r w:rsidR="003D01D3">
        <w:rPr>
          <w:rFonts w:hAnsi="Wingdings" w:hint="eastAsia"/>
          <w:sz w:val="21"/>
          <w:szCs w:val="21"/>
        </w:rPr>
        <w:t xml:space="preserve">　</w:t>
      </w:r>
      <w:r>
        <w:rPr>
          <w:rFonts w:hAnsi="Wingdings" w:hint="eastAsia"/>
          <w:sz w:val="21"/>
          <w:szCs w:val="21"/>
        </w:rPr>
        <w:t>納得を得られていないとみられる。</w:t>
      </w:r>
    </w:p>
    <w:p w14:paraId="0094CD44" w14:textId="77777777" w:rsidR="00846D10" w:rsidRDefault="00846D10" w:rsidP="00846D10">
      <w:pPr>
        <w:pStyle w:val="Default"/>
        <w:rPr>
          <w:rFonts w:hAnsi="Wingdings" w:hint="eastAsia"/>
          <w:b/>
          <w:bCs/>
          <w:sz w:val="21"/>
          <w:szCs w:val="21"/>
        </w:rPr>
      </w:pPr>
    </w:p>
    <w:p w14:paraId="70D47A50" w14:textId="10938F10" w:rsidR="00846D10" w:rsidRPr="00E541F6" w:rsidRDefault="00846D10" w:rsidP="00846D10">
      <w:pPr>
        <w:pStyle w:val="Default"/>
        <w:numPr>
          <w:ilvl w:val="0"/>
          <w:numId w:val="18"/>
        </w:numPr>
        <w:rPr>
          <w:rFonts w:hAnsi="Wingdings" w:hint="eastAsia"/>
          <w:b/>
          <w:bCs/>
          <w:sz w:val="21"/>
          <w:szCs w:val="21"/>
        </w:rPr>
      </w:pPr>
      <w:r w:rsidRPr="00E541F6">
        <w:rPr>
          <w:rFonts w:hAnsi="Wingdings" w:hint="eastAsia"/>
          <w:b/>
          <w:bCs/>
          <w:sz w:val="21"/>
          <w:szCs w:val="21"/>
        </w:rPr>
        <w:t>SECの気候変動リスク開示ルール</w:t>
      </w:r>
      <w:r>
        <w:rPr>
          <w:rFonts w:hAnsi="Wingdings"/>
          <w:b/>
          <w:bCs/>
          <w:sz w:val="21"/>
          <w:szCs w:val="21"/>
        </w:rPr>
        <w:tab/>
      </w:r>
      <w:r>
        <w:rPr>
          <w:rFonts w:hAnsi="Wingdings"/>
          <w:b/>
          <w:bCs/>
          <w:sz w:val="21"/>
          <w:szCs w:val="21"/>
        </w:rPr>
        <w:tab/>
      </w:r>
      <w:r>
        <w:rPr>
          <w:rFonts w:hAnsi="Wingdings" w:hint="eastAsia"/>
          <w:b/>
          <w:bCs/>
          <w:sz w:val="21"/>
          <w:szCs w:val="21"/>
        </w:rPr>
        <w:t>ソース：　S＆P Global</w:t>
      </w:r>
    </w:p>
    <w:p w14:paraId="2265327F" w14:textId="77777777" w:rsidR="00846D10" w:rsidRDefault="00846D10" w:rsidP="00846D10">
      <w:pPr>
        <w:pStyle w:val="Default"/>
        <w:rPr>
          <w:rFonts w:hAnsi="Wingdings" w:hint="eastAsia"/>
          <w:sz w:val="21"/>
          <w:szCs w:val="21"/>
        </w:rPr>
      </w:pPr>
    </w:p>
    <w:p w14:paraId="1F4EE71D" w14:textId="562778F6" w:rsidR="00846D10" w:rsidRDefault="00846D10" w:rsidP="00846D10">
      <w:pPr>
        <w:pStyle w:val="Default"/>
        <w:ind w:firstLineChars="100" w:firstLine="210"/>
        <w:rPr>
          <w:rFonts w:hAnsi="Wingdings" w:hint="eastAsia"/>
          <w:sz w:val="21"/>
          <w:szCs w:val="21"/>
        </w:rPr>
      </w:pPr>
      <w:r>
        <w:rPr>
          <w:rFonts w:hAnsi="Wingdings" w:hint="eastAsia"/>
          <w:sz w:val="21"/>
          <w:szCs w:val="21"/>
        </w:rPr>
        <w:t>以下の情報の開示を求めるルールを準備中。10月にリリースされる可能性あり。</w:t>
      </w:r>
    </w:p>
    <w:p w14:paraId="3105071F"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気候変動関連リスクと業績、戦略および見通しに与え得る悪影響について</w:t>
      </w:r>
    </w:p>
    <w:p w14:paraId="28EF03F5"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気候変動関連リスクと関係するリスク管理プロセスについてのガバナンス行動の詳細</w:t>
      </w:r>
    </w:p>
    <w:p w14:paraId="7477A3B8"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Scope1とScope</w:t>
      </w:r>
      <w:r>
        <w:rPr>
          <w:rFonts w:hAnsi="Wingdings"/>
          <w:sz w:val="21"/>
          <w:szCs w:val="21"/>
        </w:rPr>
        <w:t>2</w:t>
      </w:r>
      <w:r>
        <w:rPr>
          <w:rFonts w:hAnsi="Wingdings" w:hint="eastAsia"/>
          <w:sz w:val="21"/>
          <w:szCs w:val="21"/>
        </w:rPr>
        <w:t>の温室効果ガス排出量</w:t>
      </w:r>
    </w:p>
    <w:p w14:paraId="2CD0C241"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もしScope3排出が当該企業にとって重大かまたはScope3排出を含めた排出目標を定めている場合はScope3排出量</w:t>
      </w:r>
    </w:p>
    <w:p w14:paraId="5FB90D8E"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監査済みの財務諸表の注釈に特定の気候変動関連諸表と関連の開示を加える</w:t>
      </w:r>
    </w:p>
    <w:p w14:paraId="5949E789" w14:textId="77777777" w:rsidR="00846D10" w:rsidRDefault="00846D10" w:rsidP="00846D10">
      <w:pPr>
        <w:pStyle w:val="Default"/>
        <w:numPr>
          <w:ilvl w:val="0"/>
          <w:numId w:val="13"/>
        </w:numPr>
        <w:rPr>
          <w:rFonts w:hAnsi="Wingdings" w:hint="eastAsia"/>
          <w:sz w:val="21"/>
          <w:szCs w:val="21"/>
        </w:rPr>
      </w:pPr>
      <w:r>
        <w:rPr>
          <w:rFonts w:hAnsi="Wingdings" w:hint="eastAsia"/>
          <w:sz w:val="21"/>
          <w:szCs w:val="21"/>
        </w:rPr>
        <w:t>気候変動関連目標や移行計画があればそれに関する情報</w:t>
      </w:r>
    </w:p>
    <w:p w14:paraId="2E704F97" w14:textId="77777777" w:rsidR="00846D10" w:rsidRDefault="00846D10" w:rsidP="00846D10">
      <w:pPr>
        <w:pStyle w:val="Default"/>
        <w:rPr>
          <w:rFonts w:hAnsi="Wingdings" w:hint="eastAsia"/>
          <w:sz w:val="21"/>
          <w:szCs w:val="21"/>
        </w:rPr>
      </w:pPr>
    </w:p>
    <w:p w14:paraId="034462A4" w14:textId="435852E1" w:rsidR="00846D10" w:rsidRDefault="00846D10" w:rsidP="00846D10">
      <w:pPr>
        <w:pStyle w:val="Default"/>
        <w:ind w:firstLineChars="100" w:firstLine="210"/>
        <w:rPr>
          <w:rFonts w:hAnsi="Wingdings" w:hint="eastAsia"/>
          <w:sz w:val="21"/>
          <w:szCs w:val="21"/>
        </w:rPr>
      </w:pPr>
      <w:r>
        <w:rPr>
          <w:rFonts w:hAnsi="Wingdings" w:hint="eastAsia"/>
          <w:sz w:val="21"/>
          <w:szCs w:val="21"/>
        </w:rPr>
        <w:t>最大の争点はScope3の排出を含めるか否か。</w:t>
      </w:r>
    </w:p>
    <w:p w14:paraId="7188E852" w14:textId="0B128993" w:rsidR="00846D10" w:rsidRDefault="00846D10" w:rsidP="00846D10">
      <w:pPr>
        <w:pStyle w:val="Default"/>
        <w:ind w:firstLineChars="100" w:firstLine="210"/>
        <w:rPr>
          <w:rFonts w:hAnsi="Wingdings" w:hint="eastAsia"/>
          <w:sz w:val="21"/>
          <w:szCs w:val="21"/>
        </w:rPr>
      </w:pPr>
      <w:r>
        <w:rPr>
          <w:rFonts w:hAnsi="Wingdings" w:hint="eastAsia"/>
          <w:sz w:val="21"/>
          <w:szCs w:val="21"/>
        </w:rPr>
        <w:t>また、SECのこのルールが発出された後に、SECにその権利が無いとする訴訟が成された場合、最終的に最高裁までその判断があげられると、現在の保守派中心の最高裁判事はEPAのC</w:t>
      </w:r>
      <w:r>
        <w:rPr>
          <w:rFonts w:hAnsi="Wingdings"/>
          <w:sz w:val="21"/>
          <w:szCs w:val="21"/>
        </w:rPr>
        <w:t>lean Power Plan</w:t>
      </w:r>
      <w:r>
        <w:rPr>
          <w:rFonts w:hAnsi="Wingdings" w:hint="eastAsia"/>
          <w:sz w:val="21"/>
          <w:szCs w:val="21"/>
        </w:rPr>
        <w:t>の規制やバイデン大統領の学生ローン免除判断を否認した根拠である”m</w:t>
      </w:r>
      <w:r>
        <w:rPr>
          <w:rFonts w:hAnsi="Wingdings"/>
          <w:sz w:val="21"/>
          <w:szCs w:val="21"/>
        </w:rPr>
        <w:t>ajor questions doctrine</w:t>
      </w:r>
      <w:r>
        <w:rPr>
          <w:rFonts w:hAnsi="Wingdings" w:hint="eastAsia"/>
          <w:sz w:val="21"/>
          <w:szCs w:val="21"/>
        </w:rPr>
        <w:t>”の原理でSECのルールを否認する可能性がある。　　これは議会による明らかな権限付与無くして行政機関が主要な国家レベルの問題の解決を図ることはできないというもの。</w:t>
      </w:r>
    </w:p>
    <w:p w14:paraId="09D1072D" w14:textId="77777777" w:rsidR="00F2119F" w:rsidRPr="00846D10" w:rsidRDefault="00F2119F" w:rsidP="005B2171">
      <w:pPr>
        <w:pStyle w:val="Default"/>
        <w:rPr>
          <w:rFonts w:hAnsi="Wingdings" w:hint="eastAsia"/>
          <w:sz w:val="21"/>
          <w:szCs w:val="21"/>
        </w:rPr>
      </w:pPr>
    </w:p>
    <w:p w14:paraId="50314E18" w14:textId="78607CB8" w:rsidR="00242625" w:rsidRPr="00C85E78" w:rsidRDefault="00242625" w:rsidP="00846D10">
      <w:pPr>
        <w:pStyle w:val="Default"/>
        <w:numPr>
          <w:ilvl w:val="0"/>
          <w:numId w:val="18"/>
        </w:numPr>
        <w:rPr>
          <w:rFonts w:hAnsi="Wingdings" w:hint="eastAsia"/>
          <w:b/>
          <w:bCs/>
          <w:sz w:val="21"/>
          <w:szCs w:val="21"/>
        </w:rPr>
      </w:pPr>
      <w:r w:rsidRPr="00C85E78">
        <w:rPr>
          <w:rFonts w:hAnsi="Wingdings" w:hint="eastAsia"/>
          <w:b/>
          <w:bCs/>
          <w:sz w:val="21"/>
          <w:szCs w:val="21"/>
        </w:rPr>
        <w:t>SECの人的資本情報開示要求</w:t>
      </w:r>
      <w:r w:rsidRPr="00C85E78">
        <w:rPr>
          <w:rFonts w:hAnsi="Wingdings"/>
          <w:b/>
          <w:bCs/>
          <w:sz w:val="21"/>
          <w:szCs w:val="21"/>
        </w:rPr>
        <w:tab/>
      </w:r>
      <w:r w:rsidRPr="00C85E78">
        <w:rPr>
          <w:rFonts w:hAnsi="Wingdings"/>
          <w:b/>
          <w:bCs/>
          <w:sz w:val="21"/>
          <w:szCs w:val="21"/>
        </w:rPr>
        <w:tab/>
      </w:r>
      <w:r w:rsidRPr="00C85E78">
        <w:rPr>
          <w:rFonts w:hAnsi="Wingdings" w:hint="eastAsia"/>
          <w:b/>
          <w:bCs/>
          <w:sz w:val="21"/>
          <w:szCs w:val="21"/>
        </w:rPr>
        <w:t>ソース：　QUARTZ</w:t>
      </w:r>
    </w:p>
    <w:p w14:paraId="7A731B76" w14:textId="77777777" w:rsidR="001F7A99" w:rsidRDefault="001F7A99" w:rsidP="005B2171">
      <w:pPr>
        <w:pStyle w:val="Default"/>
        <w:rPr>
          <w:rFonts w:hAnsi="Wingdings" w:hint="eastAsia"/>
          <w:sz w:val="21"/>
          <w:szCs w:val="21"/>
        </w:rPr>
      </w:pPr>
    </w:p>
    <w:p w14:paraId="30EBC90C" w14:textId="3A5C1A8B" w:rsidR="00242625" w:rsidRDefault="00242625" w:rsidP="00846D10">
      <w:pPr>
        <w:pStyle w:val="Default"/>
        <w:ind w:firstLineChars="100" w:firstLine="210"/>
        <w:rPr>
          <w:rFonts w:hAnsi="Wingdings" w:hint="eastAsia"/>
          <w:sz w:val="21"/>
          <w:szCs w:val="21"/>
        </w:rPr>
      </w:pPr>
      <w:r>
        <w:rPr>
          <w:rFonts w:hAnsi="Wingdings" w:hint="eastAsia"/>
          <w:sz w:val="21"/>
          <w:szCs w:val="21"/>
        </w:rPr>
        <w:t>1973年に米国の株式会社が開示を求められた人的資本データは社員数だけであった</w:t>
      </w:r>
    </w:p>
    <w:p w14:paraId="1841E22C" w14:textId="3F0440AB" w:rsidR="00242625" w:rsidRDefault="00242625" w:rsidP="005B2171">
      <w:pPr>
        <w:pStyle w:val="Default"/>
        <w:rPr>
          <w:rFonts w:hAnsi="Wingdings" w:hint="eastAsia"/>
          <w:sz w:val="21"/>
          <w:szCs w:val="21"/>
        </w:rPr>
      </w:pPr>
      <w:r>
        <w:rPr>
          <w:rFonts w:hAnsi="Wingdings" w:hint="eastAsia"/>
          <w:sz w:val="21"/>
          <w:szCs w:val="21"/>
        </w:rPr>
        <w:t>その当時の</w:t>
      </w:r>
      <w:r w:rsidR="00443B00">
        <w:rPr>
          <w:rFonts w:hAnsi="Wingdings" w:hint="eastAsia"/>
          <w:sz w:val="21"/>
          <w:szCs w:val="21"/>
        </w:rPr>
        <w:t>S＆P500企業の総資産のわずか17%が人材の才能を含む無形固定資産であった。</w:t>
      </w:r>
    </w:p>
    <w:p w14:paraId="655BA3D0" w14:textId="289D89C5" w:rsidR="00443B00" w:rsidRDefault="00443B00" w:rsidP="00846D10">
      <w:pPr>
        <w:pStyle w:val="Default"/>
        <w:ind w:firstLineChars="100" w:firstLine="210"/>
        <w:rPr>
          <w:rFonts w:hAnsi="Wingdings" w:hint="eastAsia"/>
          <w:sz w:val="21"/>
          <w:szCs w:val="21"/>
        </w:rPr>
      </w:pPr>
      <w:r>
        <w:rPr>
          <w:rFonts w:hAnsi="Wingdings" w:hint="eastAsia"/>
          <w:sz w:val="21"/>
          <w:szCs w:val="21"/>
        </w:rPr>
        <w:t>今日、それは90%を超え、その殆どが人的資本によるものとなっている。但し、その</w:t>
      </w:r>
      <w:r w:rsidR="00846D10">
        <w:rPr>
          <w:rFonts w:hAnsi="Wingdings" w:hint="eastAsia"/>
          <w:sz w:val="21"/>
          <w:szCs w:val="21"/>
        </w:rPr>
        <w:t xml:space="preserve">　</w:t>
      </w:r>
      <w:r>
        <w:rPr>
          <w:rFonts w:hAnsi="Wingdings" w:hint="eastAsia"/>
          <w:sz w:val="21"/>
          <w:szCs w:val="21"/>
        </w:rPr>
        <w:t>人的資本情報はほとんど開示されていない。</w:t>
      </w:r>
    </w:p>
    <w:p w14:paraId="677D6982" w14:textId="7FF19573" w:rsidR="00443B00" w:rsidRDefault="00443B00" w:rsidP="00846D10">
      <w:pPr>
        <w:pStyle w:val="Default"/>
        <w:ind w:firstLineChars="100" w:firstLine="210"/>
        <w:rPr>
          <w:rFonts w:hAnsi="Wingdings" w:hint="eastAsia"/>
          <w:sz w:val="21"/>
          <w:szCs w:val="21"/>
        </w:rPr>
      </w:pPr>
      <w:r>
        <w:rPr>
          <w:rFonts w:hAnsi="Wingdings" w:hint="eastAsia"/>
          <w:sz w:val="21"/>
          <w:szCs w:val="21"/>
        </w:rPr>
        <w:lastRenderedPageBreak/>
        <w:t>投資資産を合わせると9兆ドルを超える38もの機関投資家は株式会社が人的資本情報をもっと開示することを提案した。</w:t>
      </w:r>
    </w:p>
    <w:p w14:paraId="6B5A099E" w14:textId="6BFE8189" w:rsidR="00443B00" w:rsidRDefault="00443B00" w:rsidP="005B2171">
      <w:pPr>
        <w:pStyle w:val="Default"/>
        <w:rPr>
          <w:rFonts w:hAnsi="Wingdings" w:hint="eastAsia"/>
          <w:sz w:val="21"/>
          <w:szCs w:val="21"/>
        </w:rPr>
      </w:pPr>
      <w:r>
        <w:rPr>
          <w:rFonts w:hAnsi="Wingdings" w:hint="eastAsia"/>
          <w:sz w:val="21"/>
          <w:szCs w:val="21"/>
        </w:rPr>
        <w:t>これに対しSECは2020年8月、10-K年次報告フォームで人的資本データの開示を求めた。</w:t>
      </w:r>
    </w:p>
    <w:p w14:paraId="04D5054E" w14:textId="11FB934A" w:rsidR="00334F15" w:rsidRDefault="00334F15" w:rsidP="005B2171">
      <w:pPr>
        <w:pStyle w:val="Default"/>
        <w:rPr>
          <w:rFonts w:hAnsi="Wingdings" w:hint="eastAsia"/>
          <w:sz w:val="21"/>
          <w:szCs w:val="21"/>
        </w:rPr>
      </w:pPr>
      <w:r>
        <w:rPr>
          <w:rFonts w:hAnsi="Wingdings" w:hint="eastAsia"/>
          <w:sz w:val="21"/>
          <w:szCs w:val="21"/>
        </w:rPr>
        <w:t>ところがこうした人的資本データの開示要求は</w:t>
      </w:r>
      <w:r w:rsidR="006B230E">
        <w:rPr>
          <w:rFonts w:hAnsi="Wingdings" w:hint="eastAsia"/>
          <w:sz w:val="21"/>
          <w:szCs w:val="21"/>
        </w:rPr>
        <w:t>保守派から</w:t>
      </w:r>
      <w:r>
        <w:rPr>
          <w:rFonts w:hAnsi="Wingdings" w:hint="eastAsia"/>
          <w:sz w:val="21"/>
          <w:szCs w:val="21"/>
        </w:rPr>
        <w:t>のDEIやESGそしてCRT（批判的人種理論）への批判を集める結果となっている。</w:t>
      </w:r>
    </w:p>
    <w:p w14:paraId="7A5E2D1D" w14:textId="7306C00B" w:rsidR="00334F15" w:rsidRDefault="00334F15" w:rsidP="006B230E">
      <w:pPr>
        <w:pStyle w:val="Default"/>
        <w:ind w:firstLineChars="100" w:firstLine="210"/>
        <w:rPr>
          <w:rFonts w:hAnsi="Wingdings" w:hint="eastAsia"/>
          <w:sz w:val="21"/>
          <w:szCs w:val="21"/>
        </w:rPr>
      </w:pPr>
      <w:r>
        <w:rPr>
          <w:rFonts w:hAnsi="Wingdings" w:hint="eastAsia"/>
          <w:sz w:val="21"/>
          <w:szCs w:val="21"/>
        </w:rPr>
        <w:t>政治家も人的資本データの開示がDEIやCRTといった今や政治的話題となっている議題に密接に関連するととらえていることから来年の選挙に絡むテーマととらえている。</w:t>
      </w:r>
    </w:p>
    <w:p w14:paraId="293F9708" w14:textId="6E5A7ACE" w:rsidR="00334F15" w:rsidRDefault="00334F15" w:rsidP="006B230E">
      <w:pPr>
        <w:pStyle w:val="Default"/>
        <w:ind w:firstLineChars="100" w:firstLine="210"/>
        <w:rPr>
          <w:rFonts w:hAnsi="Wingdings" w:hint="eastAsia"/>
          <w:sz w:val="21"/>
          <w:szCs w:val="21"/>
        </w:rPr>
      </w:pPr>
      <w:r>
        <w:rPr>
          <w:rFonts w:hAnsi="Wingdings" w:hint="eastAsia"/>
          <w:sz w:val="21"/>
          <w:szCs w:val="21"/>
        </w:rPr>
        <w:t>投資家からすれば人的資本経営はESG</w:t>
      </w:r>
      <w:r w:rsidR="001911B8">
        <w:rPr>
          <w:rFonts w:hAnsi="Wingdings" w:hint="eastAsia"/>
          <w:sz w:val="21"/>
          <w:szCs w:val="21"/>
        </w:rPr>
        <w:t>問題とは別物。物理的な資産や金融</w:t>
      </w:r>
      <w:r w:rsidR="006B230E">
        <w:rPr>
          <w:rFonts w:hAnsi="Wingdings" w:hint="eastAsia"/>
          <w:sz w:val="21"/>
          <w:szCs w:val="21"/>
        </w:rPr>
        <w:t>資産</w:t>
      </w:r>
      <w:r w:rsidR="001911B8">
        <w:rPr>
          <w:rFonts w:hAnsi="Wingdings" w:hint="eastAsia"/>
          <w:sz w:val="21"/>
          <w:szCs w:val="21"/>
        </w:rPr>
        <w:t>と同様、労働資本の価値が投資対象の企業の価値に直接かかわるというもの。</w:t>
      </w:r>
    </w:p>
    <w:p w14:paraId="78249B22" w14:textId="6AD8241B" w:rsidR="001911B8" w:rsidRDefault="001911B8" w:rsidP="006B230E">
      <w:pPr>
        <w:pStyle w:val="Default"/>
        <w:ind w:firstLineChars="100" w:firstLine="210"/>
        <w:rPr>
          <w:rFonts w:hAnsi="Wingdings" w:hint="eastAsia"/>
          <w:sz w:val="21"/>
          <w:szCs w:val="21"/>
        </w:rPr>
      </w:pPr>
      <w:r>
        <w:rPr>
          <w:rFonts w:hAnsi="Wingdings" w:hint="eastAsia"/>
          <w:sz w:val="21"/>
          <w:szCs w:val="21"/>
        </w:rPr>
        <w:t>社員の満足度と企業業績の相関が研究されている中、投資家は企業文化や社員の幸福度といったサステナビリティに関連した情報を求めていく傾向が予想される。</w:t>
      </w:r>
    </w:p>
    <w:p w14:paraId="736DC760" w14:textId="77777777" w:rsidR="006B230E" w:rsidRDefault="001911B8" w:rsidP="006B230E">
      <w:pPr>
        <w:pStyle w:val="Default"/>
        <w:ind w:firstLineChars="100" w:firstLine="210"/>
        <w:rPr>
          <w:rFonts w:hAnsi="Wingdings" w:hint="eastAsia"/>
          <w:sz w:val="21"/>
          <w:szCs w:val="21"/>
        </w:rPr>
      </w:pPr>
      <w:r>
        <w:rPr>
          <w:rFonts w:hAnsi="Wingdings" w:hint="eastAsia"/>
          <w:sz w:val="21"/>
          <w:szCs w:val="21"/>
        </w:rPr>
        <w:t>機関投資家グループで構成されるT</w:t>
      </w:r>
      <w:r>
        <w:rPr>
          <w:rFonts w:hAnsi="Wingdings"/>
          <w:sz w:val="21"/>
          <w:szCs w:val="21"/>
        </w:rPr>
        <w:t>he Human Capital Management Coalition</w:t>
      </w:r>
      <w:r>
        <w:rPr>
          <w:rFonts w:hAnsi="Wingdings" w:hint="eastAsia"/>
          <w:sz w:val="21"/>
          <w:szCs w:val="21"/>
        </w:rPr>
        <w:t>は、企業の人的資本経営の開示内容が現状は</w:t>
      </w:r>
      <w:r w:rsidR="00FF6F5F">
        <w:rPr>
          <w:rFonts w:hAnsi="Wingdings" w:hint="eastAsia"/>
          <w:sz w:val="21"/>
          <w:szCs w:val="21"/>
        </w:rPr>
        <w:t>「語り」となっているのに対し、①企業活動に関与するすべての社員数と構成（正社員、パート、派遣、契約など）、②人件費、③転職率及び④ダイバーシティデータの開示を標準化することを求めている。</w:t>
      </w:r>
    </w:p>
    <w:p w14:paraId="4A9101F0" w14:textId="57D0AD93" w:rsidR="001911B8" w:rsidRDefault="00FF6F5F" w:rsidP="006B230E">
      <w:pPr>
        <w:pStyle w:val="Default"/>
        <w:rPr>
          <w:rFonts w:hAnsi="Wingdings" w:hint="eastAsia"/>
          <w:sz w:val="21"/>
          <w:szCs w:val="21"/>
        </w:rPr>
      </w:pPr>
      <w:r>
        <w:rPr>
          <w:rFonts w:hAnsi="Wingdings" w:hint="eastAsia"/>
          <w:sz w:val="21"/>
          <w:szCs w:val="21"/>
        </w:rPr>
        <w:t>これに対し、SECは検討中</w:t>
      </w:r>
      <w:r w:rsidR="006B230E">
        <w:rPr>
          <w:rFonts w:hAnsi="Wingdings" w:hint="eastAsia"/>
          <w:sz w:val="21"/>
          <w:szCs w:val="21"/>
        </w:rPr>
        <w:t>といわれる</w:t>
      </w:r>
      <w:r>
        <w:rPr>
          <w:rFonts w:hAnsi="Wingdings" w:hint="eastAsia"/>
          <w:sz w:val="21"/>
          <w:szCs w:val="21"/>
        </w:rPr>
        <w:t>。</w:t>
      </w:r>
    </w:p>
    <w:p w14:paraId="28F3D484" w14:textId="79D115DF" w:rsidR="00FF6F5F" w:rsidRDefault="00F24003" w:rsidP="006B230E">
      <w:pPr>
        <w:pStyle w:val="Default"/>
        <w:ind w:firstLineChars="100" w:firstLine="210"/>
        <w:rPr>
          <w:rFonts w:hAnsi="Wingdings" w:hint="eastAsia"/>
          <w:sz w:val="21"/>
          <w:szCs w:val="21"/>
        </w:rPr>
      </w:pPr>
      <w:r>
        <w:rPr>
          <w:rFonts w:hAnsi="Wingdings" w:hint="eastAsia"/>
          <w:sz w:val="21"/>
          <w:szCs w:val="21"/>
        </w:rPr>
        <w:t>同様の開示を気候変動リスクで求めようとするSECに対し、EPAならともかく、SECにその情報開示の強制権限はないと主張する向きが訴訟をちらつかせていることから、本件でも下手に強制ルールを決めて訴訟で混乱する事態は避けたい</w:t>
      </w:r>
      <w:r w:rsidR="006B230E">
        <w:rPr>
          <w:rFonts w:hAnsi="Wingdings" w:hint="eastAsia"/>
          <w:sz w:val="21"/>
          <w:szCs w:val="21"/>
        </w:rPr>
        <w:t>ところ</w:t>
      </w:r>
      <w:r>
        <w:rPr>
          <w:rFonts w:hAnsi="Wingdings" w:hint="eastAsia"/>
          <w:sz w:val="21"/>
          <w:szCs w:val="21"/>
        </w:rPr>
        <w:t>。</w:t>
      </w:r>
    </w:p>
    <w:p w14:paraId="4F4DD75F" w14:textId="661DD671" w:rsidR="00F24003" w:rsidRDefault="00F24003" w:rsidP="006B230E">
      <w:pPr>
        <w:pStyle w:val="Default"/>
        <w:ind w:firstLineChars="100" w:firstLine="210"/>
        <w:rPr>
          <w:rFonts w:hAnsi="Wingdings" w:hint="eastAsia"/>
          <w:sz w:val="21"/>
          <w:szCs w:val="21"/>
        </w:rPr>
      </w:pPr>
      <w:r>
        <w:rPr>
          <w:rFonts w:hAnsi="Wingdings" w:hint="eastAsia"/>
          <w:sz w:val="21"/>
          <w:szCs w:val="21"/>
        </w:rPr>
        <w:t>いずれにせよ気候変動に関する情報開示ルールは人的資本経営の情報開示の動きの先鞭をつける</w:t>
      </w:r>
      <w:r w:rsidR="006B230E">
        <w:rPr>
          <w:rFonts w:hAnsi="Wingdings" w:hint="eastAsia"/>
          <w:sz w:val="21"/>
          <w:szCs w:val="21"/>
        </w:rPr>
        <w:t>ことになる</w:t>
      </w:r>
      <w:r>
        <w:rPr>
          <w:rFonts w:hAnsi="Wingdings" w:hint="eastAsia"/>
          <w:sz w:val="21"/>
          <w:szCs w:val="21"/>
        </w:rPr>
        <w:t>。</w:t>
      </w:r>
    </w:p>
    <w:p w14:paraId="5CA72AAE" w14:textId="0B0A0C71" w:rsidR="00443B00" w:rsidRDefault="00F24003" w:rsidP="006B230E">
      <w:pPr>
        <w:pStyle w:val="Default"/>
        <w:ind w:firstLineChars="100" w:firstLine="210"/>
        <w:rPr>
          <w:rFonts w:hAnsi="Wingdings" w:hint="eastAsia"/>
          <w:sz w:val="21"/>
          <w:szCs w:val="21"/>
        </w:rPr>
      </w:pPr>
      <w:r>
        <w:rPr>
          <w:rFonts w:hAnsi="Wingdings" w:hint="eastAsia"/>
          <w:sz w:val="21"/>
          <w:szCs w:val="21"/>
        </w:rPr>
        <w:t>SECの検討が長引</w:t>
      </w:r>
      <w:r w:rsidR="006B230E">
        <w:rPr>
          <w:rFonts w:hAnsi="Wingdings" w:hint="eastAsia"/>
          <w:sz w:val="21"/>
          <w:szCs w:val="21"/>
        </w:rPr>
        <w:t>き</w:t>
      </w:r>
      <w:r>
        <w:rPr>
          <w:rFonts w:hAnsi="Wingdings" w:hint="eastAsia"/>
          <w:sz w:val="21"/>
          <w:szCs w:val="21"/>
        </w:rPr>
        <w:t>次期大統領選で共和党が勝利すればいずれの情報開示にもブレーキがかかる懸念もあるが、一方、ロンドン証券取引所に登録するFTSE100の企業は皆上記のCoalitionが求める人的資本経営情報の開示を既に</w:t>
      </w:r>
      <w:r w:rsidR="00676703">
        <w:rPr>
          <w:rFonts w:hAnsi="Wingdings" w:hint="eastAsia"/>
          <w:sz w:val="21"/>
          <w:szCs w:val="21"/>
        </w:rPr>
        <w:t>行っていることから多国籍企業を中心にその開示がグローバルスタンダード化する方向にはある。</w:t>
      </w:r>
    </w:p>
    <w:p w14:paraId="7150DC3D" w14:textId="77777777" w:rsidR="00242625" w:rsidRDefault="00242625" w:rsidP="005B2171">
      <w:pPr>
        <w:pStyle w:val="Default"/>
        <w:rPr>
          <w:rFonts w:hAnsi="Wingdings" w:hint="eastAsia"/>
          <w:sz w:val="21"/>
          <w:szCs w:val="21"/>
        </w:rPr>
      </w:pPr>
    </w:p>
    <w:p w14:paraId="78E17F90" w14:textId="77777777" w:rsidR="00E541F6" w:rsidRDefault="00E541F6" w:rsidP="005B2171">
      <w:pPr>
        <w:pStyle w:val="Default"/>
        <w:rPr>
          <w:rFonts w:hAnsi="Wingdings" w:hint="eastAsia"/>
          <w:sz w:val="21"/>
          <w:szCs w:val="21"/>
        </w:rPr>
      </w:pPr>
    </w:p>
    <w:p w14:paraId="6E688576" w14:textId="77777777" w:rsidR="00BB3D0D" w:rsidRDefault="00BB3D0D" w:rsidP="00BB3D0D">
      <w:pPr>
        <w:pStyle w:val="Default"/>
        <w:rPr>
          <w:rFonts w:hAnsi="Wingdings" w:hint="eastAsia"/>
          <w:sz w:val="21"/>
          <w:szCs w:val="21"/>
        </w:rPr>
      </w:pPr>
    </w:p>
    <w:p w14:paraId="5CA0AC75" w14:textId="77777777" w:rsidR="00EF692C" w:rsidRDefault="00EF692C" w:rsidP="005B2171">
      <w:pPr>
        <w:pStyle w:val="Default"/>
        <w:rPr>
          <w:rFonts w:hAnsi="Wingdings" w:hint="eastAsia"/>
          <w:sz w:val="21"/>
          <w:szCs w:val="21"/>
        </w:rPr>
      </w:pPr>
    </w:p>
    <w:p w14:paraId="7C236A9D" w14:textId="73458236" w:rsidR="00667552" w:rsidRDefault="000C0851" w:rsidP="000C0851">
      <w:pPr>
        <w:pStyle w:val="Default"/>
        <w:tabs>
          <w:tab w:val="left" w:pos="1188"/>
        </w:tabs>
        <w:rPr>
          <w:rFonts w:hAnsi="Wingdings" w:hint="eastAsia"/>
          <w:sz w:val="21"/>
          <w:szCs w:val="21"/>
        </w:rPr>
      </w:pPr>
      <w:r>
        <w:rPr>
          <w:rFonts w:hAnsi="Wingdings" w:hint="eastAsia"/>
          <w:sz w:val="21"/>
          <w:szCs w:val="21"/>
        </w:rPr>
        <w:tab/>
      </w:r>
    </w:p>
    <w:p w14:paraId="4220B35E" w14:textId="77777777" w:rsidR="006B230E" w:rsidRDefault="006B230E" w:rsidP="000C0851">
      <w:pPr>
        <w:pStyle w:val="Default"/>
        <w:tabs>
          <w:tab w:val="left" w:pos="1188"/>
        </w:tabs>
        <w:rPr>
          <w:rFonts w:hAnsi="Wingdings" w:hint="eastAsia"/>
          <w:b/>
          <w:bCs/>
          <w:sz w:val="21"/>
          <w:szCs w:val="21"/>
        </w:rPr>
      </w:pPr>
    </w:p>
    <w:p w14:paraId="0FB3A04F" w14:textId="77777777" w:rsidR="006B230E" w:rsidRDefault="006B230E" w:rsidP="000C0851">
      <w:pPr>
        <w:pStyle w:val="Default"/>
        <w:tabs>
          <w:tab w:val="left" w:pos="1188"/>
        </w:tabs>
        <w:rPr>
          <w:rFonts w:hAnsi="Wingdings" w:hint="eastAsia"/>
          <w:b/>
          <w:bCs/>
          <w:sz w:val="21"/>
          <w:szCs w:val="21"/>
        </w:rPr>
      </w:pPr>
    </w:p>
    <w:p w14:paraId="6E154A88" w14:textId="77777777" w:rsidR="006B230E" w:rsidRDefault="006B230E" w:rsidP="000C0851">
      <w:pPr>
        <w:pStyle w:val="Default"/>
        <w:tabs>
          <w:tab w:val="left" w:pos="1188"/>
        </w:tabs>
        <w:rPr>
          <w:rFonts w:hAnsi="Wingdings" w:hint="eastAsia"/>
          <w:b/>
          <w:bCs/>
          <w:sz w:val="21"/>
          <w:szCs w:val="21"/>
        </w:rPr>
      </w:pPr>
      <w:r>
        <w:rPr>
          <w:rFonts w:hAnsi="Wingdings" w:hint="eastAsia"/>
          <w:b/>
          <w:bCs/>
          <w:sz w:val="21"/>
          <w:szCs w:val="21"/>
        </w:rPr>
        <w:t>２．州政府</w:t>
      </w:r>
    </w:p>
    <w:p w14:paraId="765F21A3" w14:textId="219F8EEC" w:rsidR="000C0851" w:rsidRPr="00181E07" w:rsidRDefault="006B230E" w:rsidP="000C0851">
      <w:pPr>
        <w:pStyle w:val="Default"/>
        <w:tabs>
          <w:tab w:val="left" w:pos="1188"/>
        </w:tabs>
        <w:rPr>
          <w:rFonts w:hAnsi="Wingdings" w:hint="eastAsia"/>
          <w:b/>
          <w:bCs/>
          <w:sz w:val="21"/>
          <w:szCs w:val="21"/>
        </w:rPr>
      </w:pPr>
      <w:r>
        <w:rPr>
          <w:rFonts w:hAnsi="Wingdings" w:hint="eastAsia"/>
          <w:b/>
          <w:bCs/>
          <w:sz w:val="21"/>
          <w:szCs w:val="21"/>
        </w:rPr>
        <w:t>①</w:t>
      </w:r>
      <w:r>
        <w:rPr>
          <w:rFonts w:hAnsi="Wingdings"/>
          <w:b/>
          <w:bCs/>
          <w:sz w:val="21"/>
          <w:szCs w:val="21"/>
        </w:rPr>
        <w:t xml:space="preserve"> </w:t>
      </w:r>
      <w:r w:rsidR="000C0851" w:rsidRPr="00181E07">
        <w:rPr>
          <w:rFonts w:hAnsi="Wingdings" w:hint="eastAsia"/>
          <w:b/>
          <w:bCs/>
          <w:sz w:val="21"/>
          <w:szCs w:val="21"/>
        </w:rPr>
        <w:t>ESG支持と反ESGに分かれる州政府</w:t>
      </w:r>
      <w:r w:rsidR="000C0851" w:rsidRPr="00181E07">
        <w:rPr>
          <w:rFonts w:hAnsi="Wingdings"/>
          <w:b/>
          <w:bCs/>
          <w:sz w:val="21"/>
          <w:szCs w:val="21"/>
        </w:rPr>
        <w:tab/>
        <w:t xml:space="preserve"> </w:t>
      </w:r>
    </w:p>
    <w:p w14:paraId="61A7AFA9" w14:textId="3A9A56B6" w:rsidR="000C0851" w:rsidRPr="00F84177" w:rsidRDefault="000C0851" w:rsidP="000C0851">
      <w:pPr>
        <w:pStyle w:val="Default"/>
        <w:tabs>
          <w:tab w:val="left" w:pos="1188"/>
        </w:tabs>
        <w:rPr>
          <w:rFonts w:hAnsi="Wingdings" w:hint="eastAsia"/>
          <w:b/>
          <w:bCs/>
          <w:sz w:val="21"/>
          <w:szCs w:val="21"/>
        </w:rPr>
      </w:pPr>
      <w:r w:rsidRPr="00F84177">
        <w:rPr>
          <w:rFonts w:hAnsi="Wingdings"/>
          <w:b/>
          <w:bCs/>
          <w:sz w:val="21"/>
          <w:szCs w:val="21"/>
        </w:rPr>
        <w:tab/>
      </w:r>
      <w:r w:rsidRPr="00F84177">
        <w:rPr>
          <w:rFonts w:hAnsi="Wingdings" w:hint="eastAsia"/>
          <w:b/>
          <w:bCs/>
          <w:sz w:val="21"/>
          <w:szCs w:val="21"/>
        </w:rPr>
        <w:t>ソース：Harvard</w:t>
      </w:r>
      <w:r w:rsidRPr="00F84177">
        <w:rPr>
          <w:rFonts w:hAnsi="Wingdings"/>
          <w:b/>
          <w:bCs/>
          <w:sz w:val="21"/>
          <w:szCs w:val="21"/>
        </w:rPr>
        <w:t xml:space="preserve"> Law School Forum on Corporate Governance</w:t>
      </w:r>
    </w:p>
    <w:p w14:paraId="1D382A3F" w14:textId="77777777" w:rsidR="00BB1444" w:rsidRDefault="00BB1444" w:rsidP="005B2171">
      <w:pPr>
        <w:pStyle w:val="Default"/>
        <w:rPr>
          <w:rFonts w:hAnsi="Wingdings" w:hint="eastAsia"/>
          <w:sz w:val="21"/>
          <w:szCs w:val="21"/>
        </w:rPr>
      </w:pPr>
    </w:p>
    <w:p w14:paraId="643C8B88" w14:textId="1ED1D2A2" w:rsidR="00F84177" w:rsidRPr="00F84177" w:rsidRDefault="00F84177" w:rsidP="006B230E">
      <w:pPr>
        <w:pStyle w:val="Default"/>
        <w:numPr>
          <w:ilvl w:val="0"/>
          <w:numId w:val="19"/>
        </w:numPr>
        <w:rPr>
          <w:rFonts w:hAnsi="Wingdings" w:hint="eastAsia"/>
          <w:b/>
          <w:bCs/>
          <w:sz w:val="21"/>
          <w:szCs w:val="21"/>
        </w:rPr>
      </w:pPr>
      <w:r w:rsidRPr="00F84177">
        <w:rPr>
          <w:rFonts w:hAnsi="Wingdings" w:hint="eastAsia"/>
          <w:b/>
          <w:bCs/>
          <w:sz w:val="21"/>
          <w:szCs w:val="21"/>
        </w:rPr>
        <w:lastRenderedPageBreak/>
        <w:t>投資判断にESGのような非財務要因を考慮することを禁じる州</w:t>
      </w:r>
    </w:p>
    <w:p w14:paraId="01C1C0D8" w14:textId="1E9ABC8D" w:rsidR="00F84177" w:rsidRPr="00F84177" w:rsidRDefault="00F84177" w:rsidP="009E7991">
      <w:pPr>
        <w:pStyle w:val="Default"/>
        <w:ind w:firstLineChars="50" w:firstLine="105"/>
        <w:rPr>
          <w:rFonts w:hAnsi="Wingdings" w:hint="eastAsia"/>
          <w:sz w:val="21"/>
          <w:szCs w:val="21"/>
        </w:rPr>
      </w:pPr>
      <w:r w:rsidRPr="00F84177">
        <w:rPr>
          <w:rFonts w:hAnsi="Wingdings" w:hint="eastAsia"/>
          <w:sz w:val="21"/>
          <w:szCs w:val="21"/>
        </w:rPr>
        <w:t>本年</w:t>
      </w:r>
      <w:r w:rsidR="009E7991">
        <w:rPr>
          <w:rFonts w:hAnsi="Wingdings" w:hint="eastAsia"/>
          <w:sz w:val="21"/>
          <w:szCs w:val="21"/>
        </w:rPr>
        <w:t>3</w:t>
      </w:r>
      <w:r w:rsidRPr="00F84177">
        <w:rPr>
          <w:rFonts w:hAnsi="Wingdings" w:hint="eastAsia"/>
          <w:sz w:val="21"/>
          <w:szCs w:val="21"/>
        </w:rPr>
        <w:t>月</w:t>
      </w:r>
      <w:r w:rsidR="009E7991">
        <w:rPr>
          <w:rFonts w:hAnsi="Wingdings" w:hint="eastAsia"/>
          <w:sz w:val="21"/>
          <w:szCs w:val="21"/>
        </w:rPr>
        <w:t>9</w:t>
      </w:r>
      <w:r w:rsidRPr="00F84177">
        <w:rPr>
          <w:rFonts w:hAnsi="Wingdings" w:hint="eastAsia"/>
          <w:sz w:val="21"/>
          <w:szCs w:val="21"/>
        </w:rPr>
        <w:t>日現在、以下の</w:t>
      </w:r>
      <w:r w:rsidR="009E7991">
        <w:rPr>
          <w:rFonts w:hAnsi="Wingdings" w:hint="eastAsia"/>
          <w:sz w:val="21"/>
          <w:szCs w:val="21"/>
        </w:rPr>
        <w:t>7</w:t>
      </w:r>
      <w:r w:rsidRPr="00F84177">
        <w:rPr>
          <w:rFonts w:hAnsi="Wingdings" w:hint="eastAsia"/>
          <w:sz w:val="21"/>
          <w:szCs w:val="21"/>
        </w:rPr>
        <w:t>つの州で州のリソースを投資する際にESG要因を考慮することを禁じるか</w:t>
      </w:r>
      <w:r w:rsidR="009E7991">
        <w:rPr>
          <w:rFonts w:hAnsi="Wingdings" w:hint="eastAsia"/>
          <w:sz w:val="21"/>
          <w:szCs w:val="21"/>
        </w:rPr>
        <w:t>、</w:t>
      </w:r>
      <w:r w:rsidRPr="00F84177">
        <w:rPr>
          <w:rFonts w:hAnsi="Wingdings" w:hint="eastAsia"/>
          <w:sz w:val="21"/>
          <w:szCs w:val="21"/>
        </w:rPr>
        <w:t>控えることを求める州法乃至政策</w:t>
      </w:r>
      <w:r w:rsidR="009E7991">
        <w:rPr>
          <w:rFonts w:hAnsi="Wingdings" w:hint="eastAsia"/>
          <w:sz w:val="21"/>
          <w:szCs w:val="21"/>
        </w:rPr>
        <w:t>声明</w:t>
      </w:r>
      <w:r w:rsidRPr="00F84177">
        <w:rPr>
          <w:rFonts w:hAnsi="Wingdings" w:hint="eastAsia"/>
          <w:sz w:val="21"/>
          <w:szCs w:val="21"/>
        </w:rPr>
        <w:t>や指令の格好での規制のアクションを取っている。</w:t>
      </w:r>
    </w:p>
    <w:p w14:paraId="55A5B1B8" w14:textId="69BC44D1" w:rsidR="00F84177" w:rsidRPr="00F84177" w:rsidRDefault="00F84177" w:rsidP="009E7991">
      <w:pPr>
        <w:pStyle w:val="Default"/>
        <w:ind w:firstLineChars="100" w:firstLine="210"/>
        <w:rPr>
          <w:rFonts w:hAnsi="Wingdings" w:hint="eastAsia"/>
          <w:sz w:val="21"/>
          <w:szCs w:val="21"/>
        </w:rPr>
      </w:pPr>
      <w:r w:rsidRPr="00F84177">
        <w:rPr>
          <w:rFonts w:hAnsi="Wingdings" w:hint="eastAsia"/>
          <w:sz w:val="21"/>
          <w:szCs w:val="21"/>
        </w:rPr>
        <w:t>公的年金基金が</w:t>
      </w:r>
      <w:r w:rsidR="009E7991" w:rsidRPr="00F84177">
        <w:rPr>
          <w:rFonts w:hAnsi="Wingdings" w:hint="eastAsia"/>
          <w:sz w:val="21"/>
          <w:szCs w:val="21"/>
        </w:rPr>
        <w:t>その</w:t>
      </w:r>
      <w:r w:rsidR="009E7991">
        <w:rPr>
          <w:rFonts w:hAnsi="Wingdings" w:hint="eastAsia"/>
          <w:sz w:val="21"/>
          <w:szCs w:val="21"/>
        </w:rPr>
        <w:t>基金</w:t>
      </w:r>
      <w:r w:rsidR="009E7991" w:rsidRPr="00F84177">
        <w:rPr>
          <w:rFonts w:hAnsi="Wingdings" w:hint="eastAsia"/>
          <w:sz w:val="21"/>
          <w:szCs w:val="21"/>
        </w:rPr>
        <w:t>運用で</w:t>
      </w:r>
      <w:r w:rsidRPr="00F84177">
        <w:rPr>
          <w:rFonts w:hAnsi="Wingdings" w:hint="eastAsia"/>
          <w:sz w:val="21"/>
          <w:szCs w:val="21"/>
        </w:rPr>
        <w:t>非財務要因を考慮することは信託義務と矛盾するとして禁止する形をとっている。中には例外規定を設けるものもある。</w:t>
      </w:r>
    </w:p>
    <w:p w14:paraId="509FBFAC" w14:textId="77777777" w:rsidR="00F84177" w:rsidRPr="00F84177" w:rsidRDefault="00F84177" w:rsidP="00F84177">
      <w:pPr>
        <w:pStyle w:val="Default"/>
        <w:rPr>
          <w:rFonts w:hAnsi="Wingdings" w:hint="eastAsia"/>
          <w:sz w:val="21"/>
          <w:szCs w:val="21"/>
        </w:rPr>
      </w:pPr>
    </w:p>
    <w:p w14:paraId="1B88FC6F" w14:textId="26D1F0D1" w:rsidR="00F84177" w:rsidRPr="009E7991" w:rsidRDefault="00F84177" w:rsidP="00F84177">
      <w:pPr>
        <w:pStyle w:val="Default"/>
        <w:rPr>
          <w:rFonts w:hAnsi="Wingdings" w:hint="eastAsia"/>
          <w:b/>
          <w:bCs/>
          <w:sz w:val="21"/>
          <w:szCs w:val="21"/>
          <w:u w:val="single"/>
        </w:rPr>
      </w:pPr>
      <w:r w:rsidRPr="009E7991">
        <w:rPr>
          <w:rFonts w:hAnsi="Wingdings" w:hint="eastAsia"/>
          <w:b/>
          <w:bCs/>
          <w:sz w:val="21"/>
          <w:szCs w:val="21"/>
          <w:u w:val="single"/>
        </w:rPr>
        <w:t>アイダホ州</w:t>
      </w:r>
      <w:r w:rsidRPr="009E7991">
        <w:rPr>
          <w:rFonts w:hAnsi="Wingdings" w:hint="eastAsia"/>
          <w:b/>
          <w:bCs/>
          <w:sz w:val="21"/>
          <w:szCs w:val="21"/>
          <w:u w:val="single"/>
        </w:rPr>
        <w:tab/>
        <w:t>州法</w:t>
      </w:r>
      <w:r w:rsidR="007043E5" w:rsidRPr="009E7991">
        <w:rPr>
          <w:rFonts w:hAnsi="Wingdings" w:hint="eastAsia"/>
          <w:b/>
          <w:bCs/>
          <w:sz w:val="21"/>
          <w:szCs w:val="21"/>
          <w:u w:val="single"/>
        </w:rPr>
        <w:t>2022年7月1日</w:t>
      </w:r>
      <w:r w:rsidRPr="009E7991">
        <w:rPr>
          <w:rFonts w:hAnsi="Wingdings" w:hint="eastAsia"/>
          <w:b/>
          <w:bCs/>
          <w:sz w:val="21"/>
          <w:szCs w:val="21"/>
          <w:u w:val="single"/>
        </w:rPr>
        <w:t>施行</w:t>
      </w:r>
    </w:p>
    <w:p w14:paraId="7148E4B8" w14:textId="77777777" w:rsidR="00F84177" w:rsidRPr="00F84177" w:rsidRDefault="00F84177" w:rsidP="009E7991">
      <w:pPr>
        <w:pStyle w:val="Default"/>
        <w:ind w:firstLineChars="100" w:firstLine="210"/>
        <w:rPr>
          <w:rFonts w:hAnsi="Wingdings" w:hint="eastAsia"/>
          <w:sz w:val="21"/>
          <w:szCs w:val="21"/>
        </w:rPr>
      </w:pPr>
      <w:r w:rsidRPr="00F84177">
        <w:rPr>
          <w:rFonts w:hAnsi="Wingdings" w:hint="eastAsia"/>
          <w:sz w:val="21"/>
          <w:szCs w:val="21"/>
        </w:rPr>
        <w:t>公的組織が投資判断において慎重な投資家の常識を超えてESGの特徴を考慮してはならない。　多くのオプションの１つとしてESG志向の投資をオファーすることは例外。</w:t>
      </w:r>
    </w:p>
    <w:p w14:paraId="147B621B" w14:textId="77777777" w:rsidR="00F84177" w:rsidRPr="00F84177" w:rsidRDefault="00F84177" w:rsidP="00F84177">
      <w:pPr>
        <w:pStyle w:val="Default"/>
        <w:rPr>
          <w:rFonts w:hAnsi="Wingdings" w:hint="eastAsia"/>
          <w:sz w:val="21"/>
          <w:szCs w:val="21"/>
        </w:rPr>
      </w:pPr>
    </w:p>
    <w:p w14:paraId="5C6F51A4" w14:textId="5760DEFF" w:rsidR="00F84177" w:rsidRPr="009E7991" w:rsidRDefault="00F84177" w:rsidP="00F84177">
      <w:pPr>
        <w:pStyle w:val="Default"/>
        <w:rPr>
          <w:rFonts w:hAnsi="Wingdings" w:hint="eastAsia"/>
          <w:b/>
          <w:bCs/>
          <w:sz w:val="21"/>
          <w:szCs w:val="21"/>
          <w:u w:val="single"/>
        </w:rPr>
      </w:pPr>
      <w:r w:rsidRPr="009E7991">
        <w:rPr>
          <w:rFonts w:hAnsi="Wingdings" w:hint="eastAsia"/>
          <w:b/>
          <w:bCs/>
          <w:sz w:val="21"/>
          <w:szCs w:val="21"/>
          <w:u w:val="single"/>
        </w:rPr>
        <w:t>ノースダコタ州</w:t>
      </w:r>
      <w:r w:rsidRPr="009E7991">
        <w:rPr>
          <w:rFonts w:hAnsi="Wingdings" w:hint="eastAsia"/>
          <w:b/>
          <w:bCs/>
          <w:sz w:val="21"/>
          <w:szCs w:val="21"/>
          <w:u w:val="single"/>
        </w:rPr>
        <w:tab/>
        <w:t>州法</w:t>
      </w:r>
      <w:r w:rsidR="007043E5" w:rsidRPr="009E7991">
        <w:rPr>
          <w:rFonts w:hAnsi="Wingdings" w:hint="eastAsia"/>
          <w:b/>
          <w:bCs/>
          <w:sz w:val="21"/>
          <w:szCs w:val="21"/>
          <w:u w:val="single"/>
        </w:rPr>
        <w:t>2021年3月24日</w:t>
      </w:r>
      <w:r w:rsidRPr="009E7991">
        <w:rPr>
          <w:rFonts w:hAnsi="Wingdings" w:hint="eastAsia"/>
          <w:b/>
          <w:bCs/>
          <w:sz w:val="21"/>
          <w:szCs w:val="21"/>
          <w:u w:val="single"/>
        </w:rPr>
        <w:t>施行</w:t>
      </w:r>
    </w:p>
    <w:p w14:paraId="359BE462" w14:textId="77777777" w:rsidR="00F84177" w:rsidRPr="00F84177" w:rsidRDefault="00F84177" w:rsidP="009E7991">
      <w:pPr>
        <w:pStyle w:val="Default"/>
        <w:ind w:firstLineChars="100" w:firstLine="210"/>
        <w:rPr>
          <w:rFonts w:hAnsi="Wingdings" w:hint="eastAsia"/>
          <w:sz w:val="21"/>
          <w:szCs w:val="21"/>
        </w:rPr>
      </w:pPr>
      <w:r w:rsidRPr="00F84177">
        <w:rPr>
          <w:rFonts w:hAnsi="Wingdings" w:hint="eastAsia"/>
          <w:sz w:val="21"/>
          <w:szCs w:val="21"/>
        </w:rPr>
        <w:t>社会投資の目的で州の基金を投資することを禁じる。投資収益性が十分高いと州の投資委員会が判断すれば例外。</w:t>
      </w:r>
    </w:p>
    <w:p w14:paraId="38955B58" w14:textId="77777777" w:rsidR="00F84177" w:rsidRPr="00F84177" w:rsidRDefault="00F84177" w:rsidP="00F84177">
      <w:pPr>
        <w:pStyle w:val="Default"/>
        <w:rPr>
          <w:rFonts w:hAnsi="Wingdings" w:hint="eastAsia"/>
          <w:sz w:val="21"/>
          <w:szCs w:val="21"/>
        </w:rPr>
      </w:pPr>
    </w:p>
    <w:p w14:paraId="54DE0D58" w14:textId="26AE8561"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アリゾナ州　財務省の政策声明　</w:t>
      </w:r>
      <w:r w:rsidR="007043E5" w:rsidRPr="003D35C3">
        <w:rPr>
          <w:rFonts w:hAnsi="Wingdings" w:hint="eastAsia"/>
          <w:b/>
          <w:bCs/>
          <w:sz w:val="21"/>
          <w:szCs w:val="21"/>
          <w:u w:val="single"/>
        </w:rPr>
        <w:t>2022年8月30日</w:t>
      </w:r>
      <w:r w:rsidRPr="003D35C3">
        <w:rPr>
          <w:rFonts w:hAnsi="Wingdings" w:hint="eastAsia"/>
          <w:b/>
          <w:bCs/>
          <w:sz w:val="21"/>
          <w:szCs w:val="21"/>
          <w:u w:val="single"/>
        </w:rPr>
        <w:t>発出</w:t>
      </w:r>
    </w:p>
    <w:p w14:paraId="65B2C2A8" w14:textId="77777777"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州の投資評価において非財務要因を考慮することを禁じる。</w:t>
      </w:r>
    </w:p>
    <w:p w14:paraId="15E29122" w14:textId="77777777" w:rsidR="00F84177" w:rsidRPr="00F84177" w:rsidRDefault="00F84177" w:rsidP="00F84177">
      <w:pPr>
        <w:pStyle w:val="Default"/>
        <w:rPr>
          <w:rFonts w:hAnsi="Wingdings" w:hint="eastAsia"/>
          <w:sz w:val="21"/>
          <w:szCs w:val="21"/>
        </w:rPr>
      </w:pPr>
    </w:p>
    <w:p w14:paraId="2FE6809F" w14:textId="65DA5962"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フロリダ州　州の行政委員会による投資政策　</w:t>
      </w:r>
      <w:r w:rsidR="007043E5" w:rsidRPr="003D35C3">
        <w:rPr>
          <w:rFonts w:hAnsi="Wingdings" w:hint="eastAsia"/>
          <w:b/>
          <w:bCs/>
          <w:sz w:val="21"/>
          <w:szCs w:val="21"/>
          <w:u w:val="single"/>
        </w:rPr>
        <w:t>2022年8月23日</w:t>
      </w:r>
      <w:r w:rsidRPr="003D35C3">
        <w:rPr>
          <w:rFonts w:hAnsi="Wingdings" w:hint="eastAsia"/>
          <w:b/>
          <w:bCs/>
          <w:sz w:val="21"/>
          <w:szCs w:val="21"/>
          <w:u w:val="single"/>
        </w:rPr>
        <w:t>付</w:t>
      </w:r>
    </w:p>
    <w:p w14:paraId="38E1213D" w14:textId="77777777"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州の委員会は退職基金投資に関しては財務要因にのみ基づいて投資判断を求める。</w:t>
      </w:r>
    </w:p>
    <w:p w14:paraId="2FC4F3F5" w14:textId="77777777" w:rsidR="00F84177" w:rsidRPr="00F84177" w:rsidRDefault="00F84177" w:rsidP="00F84177">
      <w:pPr>
        <w:pStyle w:val="Default"/>
        <w:rPr>
          <w:rFonts w:hAnsi="Wingdings" w:hint="eastAsia"/>
          <w:sz w:val="21"/>
          <w:szCs w:val="21"/>
        </w:rPr>
      </w:pPr>
    </w:p>
    <w:p w14:paraId="31CFCCD4" w14:textId="68EB3ACD"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フロリダ州　財務官指令　</w:t>
      </w:r>
      <w:r w:rsidR="007043E5" w:rsidRPr="003D35C3">
        <w:rPr>
          <w:rFonts w:hAnsi="Wingdings" w:hint="eastAsia"/>
          <w:b/>
          <w:bCs/>
          <w:sz w:val="21"/>
          <w:szCs w:val="21"/>
          <w:u w:val="single"/>
        </w:rPr>
        <w:t>2023年1月23日</w:t>
      </w:r>
    </w:p>
    <w:p w14:paraId="0BF1BE28" w14:textId="18794528"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アセットマネージャーが州の繰り延べ報酬制度への参加者の利益をESGに関する金融商品に投資することを禁じる</w:t>
      </w:r>
      <w:r w:rsidR="003D35C3">
        <w:rPr>
          <w:rFonts w:hAnsi="Wingdings" w:hint="eastAsia"/>
          <w:sz w:val="21"/>
          <w:szCs w:val="21"/>
        </w:rPr>
        <w:t>。</w:t>
      </w:r>
    </w:p>
    <w:p w14:paraId="5418AF8A" w14:textId="77777777" w:rsidR="00F84177" w:rsidRPr="00F84177" w:rsidRDefault="00F84177" w:rsidP="00F84177">
      <w:pPr>
        <w:pStyle w:val="Default"/>
        <w:rPr>
          <w:rFonts w:hAnsi="Wingdings" w:hint="eastAsia"/>
          <w:sz w:val="21"/>
          <w:szCs w:val="21"/>
        </w:rPr>
      </w:pPr>
    </w:p>
    <w:p w14:paraId="52132503" w14:textId="4413005E"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インディアナ州司法長官の意見通知　</w:t>
      </w:r>
      <w:r w:rsidR="007043E5" w:rsidRPr="003D35C3">
        <w:rPr>
          <w:rFonts w:hAnsi="Wingdings" w:hint="eastAsia"/>
          <w:b/>
          <w:bCs/>
          <w:sz w:val="21"/>
          <w:szCs w:val="21"/>
          <w:u w:val="single"/>
        </w:rPr>
        <w:t>2022年9月1日</w:t>
      </w:r>
    </w:p>
    <w:p w14:paraId="437FC2CD" w14:textId="4E43CCA0"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州の公的退職基金のESG投資は信託義務違反である</w:t>
      </w:r>
      <w:r w:rsidR="003D35C3">
        <w:rPr>
          <w:rFonts w:hAnsi="Wingdings" w:hint="eastAsia"/>
          <w:sz w:val="21"/>
          <w:szCs w:val="21"/>
        </w:rPr>
        <w:t>。</w:t>
      </w:r>
    </w:p>
    <w:p w14:paraId="1760FCBB" w14:textId="77777777" w:rsidR="00F84177" w:rsidRPr="00F84177" w:rsidRDefault="00F84177" w:rsidP="00F84177">
      <w:pPr>
        <w:pStyle w:val="Default"/>
        <w:rPr>
          <w:rFonts w:hAnsi="Wingdings" w:hint="eastAsia"/>
          <w:sz w:val="21"/>
          <w:szCs w:val="21"/>
        </w:rPr>
      </w:pPr>
    </w:p>
    <w:p w14:paraId="7ECC45A1" w14:textId="4D7ADBDC"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ケンタッキー州司法長官の意見通知　</w:t>
      </w:r>
      <w:r w:rsidR="007043E5" w:rsidRPr="003D35C3">
        <w:rPr>
          <w:rFonts w:hAnsi="Wingdings" w:hint="eastAsia"/>
          <w:b/>
          <w:bCs/>
          <w:sz w:val="21"/>
          <w:szCs w:val="21"/>
          <w:u w:val="single"/>
        </w:rPr>
        <w:t>2022年5月26日</w:t>
      </w:r>
    </w:p>
    <w:p w14:paraId="7D983E6D" w14:textId="57AFBD16"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ESG投資行為は投資マネジメント会社が公的年金基金に対して負う信託義務を定めた</w:t>
      </w:r>
      <w:r w:rsidR="003D35C3">
        <w:rPr>
          <w:rFonts w:hAnsi="Wingdings" w:hint="eastAsia"/>
          <w:sz w:val="21"/>
          <w:szCs w:val="21"/>
        </w:rPr>
        <w:t xml:space="preserve">　</w:t>
      </w:r>
      <w:r w:rsidRPr="00F84177">
        <w:rPr>
          <w:rFonts w:hAnsi="Wingdings" w:hint="eastAsia"/>
          <w:sz w:val="21"/>
          <w:szCs w:val="21"/>
        </w:rPr>
        <w:t>州法に反する</w:t>
      </w:r>
      <w:r w:rsidR="003D35C3">
        <w:rPr>
          <w:rFonts w:hAnsi="Wingdings" w:hint="eastAsia"/>
          <w:sz w:val="21"/>
          <w:szCs w:val="21"/>
        </w:rPr>
        <w:t>。</w:t>
      </w:r>
    </w:p>
    <w:p w14:paraId="549FCF10" w14:textId="77777777" w:rsidR="00F84177" w:rsidRPr="00F84177" w:rsidRDefault="00F84177" w:rsidP="00F84177">
      <w:pPr>
        <w:pStyle w:val="Default"/>
        <w:rPr>
          <w:rFonts w:hAnsi="Wingdings" w:hint="eastAsia"/>
          <w:sz w:val="21"/>
          <w:szCs w:val="21"/>
        </w:rPr>
      </w:pPr>
    </w:p>
    <w:p w14:paraId="11D76F35" w14:textId="4519F436"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ミシシッピー州財務長官の公的職員退職基金の取締役に対する書簡　</w:t>
      </w:r>
      <w:r w:rsidR="007043E5" w:rsidRPr="003D35C3">
        <w:rPr>
          <w:rFonts w:hAnsi="Wingdings" w:hint="eastAsia"/>
          <w:b/>
          <w:bCs/>
          <w:sz w:val="21"/>
          <w:szCs w:val="21"/>
          <w:u w:val="single"/>
        </w:rPr>
        <w:t>2022年11月14日</w:t>
      </w:r>
      <w:r w:rsidRPr="003D35C3">
        <w:rPr>
          <w:rFonts w:hAnsi="Wingdings" w:hint="eastAsia"/>
          <w:b/>
          <w:bCs/>
          <w:sz w:val="21"/>
          <w:szCs w:val="21"/>
          <w:u w:val="single"/>
        </w:rPr>
        <w:t>付</w:t>
      </w:r>
    </w:p>
    <w:p w14:paraId="10D2084B" w14:textId="357FDCFA"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取締役会に対しESGポリシーを拒絶</w:t>
      </w:r>
      <w:r w:rsidR="003D35C3">
        <w:rPr>
          <w:rFonts w:hAnsi="Wingdings" w:hint="eastAsia"/>
          <w:sz w:val="21"/>
          <w:szCs w:val="21"/>
        </w:rPr>
        <w:t>することを求め</w:t>
      </w:r>
      <w:r w:rsidRPr="00F84177">
        <w:rPr>
          <w:rFonts w:hAnsi="Wingdings" w:hint="eastAsia"/>
          <w:sz w:val="21"/>
          <w:szCs w:val="21"/>
        </w:rPr>
        <w:t>、投資政策において非財務要因を</w:t>
      </w:r>
      <w:r w:rsidR="003D35C3">
        <w:rPr>
          <w:rFonts w:hAnsi="Wingdings" w:hint="eastAsia"/>
          <w:sz w:val="21"/>
          <w:szCs w:val="21"/>
        </w:rPr>
        <w:t xml:space="preserve">　</w:t>
      </w:r>
      <w:r w:rsidRPr="00F84177">
        <w:rPr>
          <w:rFonts w:hAnsi="Wingdings" w:hint="eastAsia"/>
          <w:sz w:val="21"/>
          <w:szCs w:val="21"/>
        </w:rPr>
        <w:t>用いることを</w:t>
      </w:r>
      <w:r w:rsidR="003D35C3">
        <w:rPr>
          <w:rFonts w:hAnsi="Wingdings" w:hint="eastAsia"/>
          <w:sz w:val="21"/>
          <w:szCs w:val="21"/>
        </w:rPr>
        <w:t>公式</w:t>
      </w:r>
      <w:r w:rsidRPr="00F84177">
        <w:rPr>
          <w:rFonts w:hAnsi="Wingdings" w:hint="eastAsia"/>
          <w:sz w:val="21"/>
          <w:szCs w:val="21"/>
        </w:rPr>
        <w:t>に禁じることを促す</w:t>
      </w:r>
      <w:r w:rsidR="003D35C3">
        <w:rPr>
          <w:rFonts w:hAnsi="Wingdings" w:hint="eastAsia"/>
          <w:sz w:val="21"/>
          <w:szCs w:val="21"/>
        </w:rPr>
        <w:t>。</w:t>
      </w:r>
    </w:p>
    <w:p w14:paraId="6494D606" w14:textId="77777777" w:rsidR="00F84177" w:rsidRPr="00F84177" w:rsidRDefault="00F84177" w:rsidP="00F84177">
      <w:pPr>
        <w:pStyle w:val="Default"/>
        <w:rPr>
          <w:rFonts w:hAnsi="Wingdings" w:hint="eastAsia"/>
          <w:sz w:val="21"/>
          <w:szCs w:val="21"/>
        </w:rPr>
      </w:pPr>
    </w:p>
    <w:p w14:paraId="3CE38789" w14:textId="538EAD48" w:rsidR="00F84177" w:rsidRPr="00F84177" w:rsidRDefault="00F84177" w:rsidP="006B230E">
      <w:pPr>
        <w:pStyle w:val="Default"/>
        <w:numPr>
          <w:ilvl w:val="0"/>
          <w:numId w:val="19"/>
        </w:numPr>
        <w:rPr>
          <w:rFonts w:hAnsi="Wingdings" w:hint="eastAsia"/>
          <w:b/>
          <w:bCs/>
          <w:sz w:val="21"/>
          <w:szCs w:val="21"/>
        </w:rPr>
      </w:pPr>
      <w:r w:rsidRPr="00F84177">
        <w:rPr>
          <w:rFonts w:hAnsi="Wingdings" w:hint="eastAsia"/>
          <w:b/>
          <w:bCs/>
          <w:sz w:val="21"/>
          <w:szCs w:val="21"/>
        </w:rPr>
        <w:lastRenderedPageBreak/>
        <w:t>業態が反ESG的であるとして特定業種・企業との取引をボイコット</w:t>
      </w:r>
      <w:r w:rsidR="003D35C3">
        <w:rPr>
          <w:rFonts w:hAnsi="Wingdings" w:hint="eastAsia"/>
          <w:b/>
          <w:bCs/>
          <w:sz w:val="21"/>
          <w:szCs w:val="21"/>
        </w:rPr>
        <w:t>したり</w:t>
      </w:r>
      <w:r w:rsidRPr="00F84177">
        <w:rPr>
          <w:rFonts w:hAnsi="Wingdings" w:hint="eastAsia"/>
          <w:b/>
          <w:bCs/>
          <w:sz w:val="21"/>
          <w:szCs w:val="21"/>
        </w:rPr>
        <w:t>差別し</w:t>
      </w:r>
      <w:r w:rsidR="003D35C3">
        <w:rPr>
          <w:rFonts w:hAnsi="Wingdings" w:hint="eastAsia"/>
          <w:b/>
          <w:bCs/>
          <w:sz w:val="21"/>
          <w:szCs w:val="21"/>
        </w:rPr>
        <w:t>たりし</w:t>
      </w:r>
      <w:r w:rsidRPr="00F84177">
        <w:rPr>
          <w:rFonts w:hAnsi="Wingdings" w:hint="eastAsia"/>
          <w:b/>
          <w:bCs/>
          <w:sz w:val="21"/>
          <w:szCs w:val="21"/>
        </w:rPr>
        <w:t>ている企業で州政府との契約を望む企業を標的とした規制</w:t>
      </w:r>
    </w:p>
    <w:p w14:paraId="7FD3670F" w14:textId="77777777" w:rsidR="00F84177" w:rsidRPr="00F84177" w:rsidRDefault="00F84177" w:rsidP="00F84177">
      <w:pPr>
        <w:pStyle w:val="Default"/>
        <w:rPr>
          <w:rFonts w:hAnsi="Wingdings" w:hint="eastAsia"/>
          <w:sz w:val="21"/>
          <w:szCs w:val="21"/>
        </w:rPr>
      </w:pPr>
    </w:p>
    <w:p w14:paraId="6C25B7E9" w14:textId="270A4C9D"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ケンタッキー州法　</w:t>
      </w:r>
      <w:r w:rsidR="007043E5" w:rsidRPr="003D35C3">
        <w:rPr>
          <w:rFonts w:hAnsi="Wingdings" w:hint="eastAsia"/>
          <w:b/>
          <w:bCs/>
          <w:sz w:val="21"/>
          <w:szCs w:val="21"/>
          <w:u w:val="single"/>
        </w:rPr>
        <w:t>2022年4月8</w:t>
      </w:r>
      <w:r w:rsidRPr="003D35C3">
        <w:rPr>
          <w:rFonts w:hAnsi="Wingdings" w:hint="eastAsia"/>
          <w:b/>
          <w:bCs/>
          <w:sz w:val="21"/>
          <w:szCs w:val="21"/>
          <w:u w:val="single"/>
        </w:rPr>
        <w:t>日施行</w:t>
      </w:r>
    </w:p>
    <w:p w14:paraId="7E0D6372" w14:textId="2844C237"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エネルギー企業との取引のボイコットを行う金融企業との州政府との取引停止</w:t>
      </w:r>
      <w:r w:rsidR="003D35C3">
        <w:rPr>
          <w:rFonts w:hAnsi="Wingdings" w:hint="eastAsia"/>
          <w:sz w:val="21"/>
          <w:szCs w:val="21"/>
        </w:rPr>
        <w:t>。</w:t>
      </w:r>
    </w:p>
    <w:p w14:paraId="62AD0BB7" w14:textId="71068816" w:rsidR="00F84177" w:rsidRPr="00F84177" w:rsidRDefault="00F84177" w:rsidP="00F84177">
      <w:pPr>
        <w:pStyle w:val="Default"/>
        <w:rPr>
          <w:rFonts w:hAnsi="Wingdings" w:hint="eastAsia"/>
          <w:sz w:val="21"/>
          <w:szCs w:val="21"/>
        </w:rPr>
      </w:pPr>
      <w:r w:rsidRPr="00F84177">
        <w:rPr>
          <w:rFonts w:hAnsi="Wingdings" w:hint="eastAsia"/>
          <w:sz w:val="21"/>
          <w:szCs w:val="21"/>
        </w:rPr>
        <w:t>エネルギー企業との取引のボイコットを続ける企業との新規契約の禁止</w:t>
      </w:r>
      <w:r w:rsidR="003D35C3">
        <w:rPr>
          <w:rFonts w:hAnsi="Wingdings" w:hint="eastAsia"/>
          <w:sz w:val="21"/>
          <w:szCs w:val="21"/>
        </w:rPr>
        <w:t>。</w:t>
      </w:r>
    </w:p>
    <w:p w14:paraId="23A75CB3" w14:textId="24930697" w:rsidR="00F84177" w:rsidRPr="00F84177" w:rsidRDefault="003D35C3" w:rsidP="00F84177">
      <w:pPr>
        <w:pStyle w:val="Default"/>
        <w:rPr>
          <w:rFonts w:hAnsi="Wingdings" w:hint="eastAsia"/>
          <w:sz w:val="21"/>
          <w:szCs w:val="21"/>
        </w:rPr>
      </w:pPr>
      <w:r>
        <w:rPr>
          <w:rFonts w:hAnsi="Wingdings" w:hint="eastAsia"/>
          <w:sz w:val="21"/>
          <w:szCs w:val="21"/>
        </w:rPr>
        <w:t>ただし、</w:t>
      </w:r>
      <w:r w:rsidR="00F84177" w:rsidRPr="00F84177">
        <w:rPr>
          <w:rFonts w:hAnsi="Wingdings" w:hint="eastAsia"/>
          <w:sz w:val="21"/>
          <w:szCs w:val="21"/>
        </w:rPr>
        <w:t>例外はいろいろあり。</w:t>
      </w:r>
    </w:p>
    <w:p w14:paraId="669C041C" w14:textId="77777777" w:rsidR="00F84177" w:rsidRPr="00F84177" w:rsidRDefault="00F84177" w:rsidP="00F84177">
      <w:pPr>
        <w:pStyle w:val="Default"/>
        <w:rPr>
          <w:rFonts w:hAnsi="Wingdings" w:hint="eastAsia"/>
          <w:sz w:val="21"/>
          <w:szCs w:val="21"/>
        </w:rPr>
      </w:pPr>
    </w:p>
    <w:p w14:paraId="0A569226" w14:textId="45E07FB6"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ニューハンプシャー州法　</w:t>
      </w:r>
      <w:r w:rsidR="007043E5" w:rsidRPr="003D35C3">
        <w:rPr>
          <w:rFonts w:hAnsi="Wingdings" w:hint="eastAsia"/>
          <w:b/>
          <w:bCs/>
          <w:sz w:val="21"/>
          <w:szCs w:val="21"/>
          <w:u w:val="single"/>
        </w:rPr>
        <w:t>2022年6月26日</w:t>
      </w:r>
      <w:r w:rsidRPr="003D35C3">
        <w:rPr>
          <w:rFonts w:hAnsi="Wingdings" w:hint="eastAsia"/>
          <w:b/>
          <w:bCs/>
          <w:sz w:val="21"/>
          <w:szCs w:val="21"/>
          <w:u w:val="single"/>
        </w:rPr>
        <w:t>施行</w:t>
      </w:r>
    </w:p>
    <w:p w14:paraId="36316577" w14:textId="32C479B2"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州の金融サービスを提供する業界において反差別法を必要とするかどうか</w:t>
      </w:r>
      <w:r w:rsidR="003D35C3">
        <w:rPr>
          <w:rFonts w:hAnsi="Wingdings" w:hint="eastAsia"/>
          <w:sz w:val="21"/>
          <w:szCs w:val="21"/>
        </w:rPr>
        <w:t>判断する</w:t>
      </w:r>
      <w:r w:rsidRPr="00F84177">
        <w:rPr>
          <w:rFonts w:hAnsi="Wingdings" w:hint="eastAsia"/>
          <w:sz w:val="21"/>
          <w:szCs w:val="21"/>
        </w:rPr>
        <w:t>委員会を設定</w:t>
      </w:r>
      <w:r w:rsidR="003D35C3">
        <w:rPr>
          <w:rFonts w:hAnsi="Wingdings" w:hint="eastAsia"/>
          <w:sz w:val="21"/>
          <w:szCs w:val="21"/>
        </w:rPr>
        <w:t>。</w:t>
      </w:r>
    </w:p>
    <w:p w14:paraId="200E5FC6" w14:textId="77777777" w:rsidR="00F84177" w:rsidRPr="00F84177" w:rsidRDefault="00F84177" w:rsidP="00F84177">
      <w:pPr>
        <w:pStyle w:val="Default"/>
        <w:rPr>
          <w:rFonts w:hAnsi="Wingdings" w:hint="eastAsia"/>
          <w:sz w:val="21"/>
          <w:szCs w:val="21"/>
        </w:rPr>
      </w:pPr>
    </w:p>
    <w:p w14:paraId="627CE4BA" w14:textId="613FDB33"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ノースダコタ州法　</w:t>
      </w:r>
      <w:r w:rsidR="007043E5" w:rsidRPr="003D35C3">
        <w:rPr>
          <w:rFonts w:hAnsi="Wingdings" w:hint="eastAsia"/>
          <w:b/>
          <w:bCs/>
          <w:sz w:val="21"/>
          <w:szCs w:val="21"/>
          <w:u w:val="single"/>
        </w:rPr>
        <w:t>2021年3月24日</w:t>
      </w:r>
      <w:r w:rsidRPr="003D35C3">
        <w:rPr>
          <w:rFonts w:hAnsi="Wingdings" w:hint="eastAsia"/>
          <w:b/>
          <w:bCs/>
          <w:sz w:val="21"/>
          <w:szCs w:val="21"/>
          <w:u w:val="single"/>
        </w:rPr>
        <w:t>施行</w:t>
      </w:r>
    </w:p>
    <w:p w14:paraId="6C5F9D71" w14:textId="73D10BFB"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州の商務省に対しESG要因を投資判断に組み込む企業に対するポリシーを定め、エネルギー企業やコモディティ企業をボイコットする会社との取引停止を検討</w:t>
      </w:r>
      <w:r w:rsidR="003D35C3">
        <w:rPr>
          <w:rFonts w:hAnsi="Wingdings" w:hint="eastAsia"/>
          <w:sz w:val="21"/>
          <w:szCs w:val="21"/>
        </w:rPr>
        <w:t>。</w:t>
      </w:r>
    </w:p>
    <w:p w14:paraId="2B27EB24" w14:textId="77777777" w:rsidR="00F84177" w:rsidRPr="00F84177" w:rsidRDefault="00F84177" w:rsidP="00F84177">
      <w:pPr>
        <w:pStyle w:val="Default"/>
        <w:rPr>
          <w:rFonts w:hAnsi="Wingdings" w:hint="eastAsia"/>
          <w:sz w:val="21"/>
          <w:szCs w:val="21"/>
        </w:rPr>
      </w:pPr>
    </w:p>
    <w:p w14:paraId="35749DEB" w14:textId="32D65453"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オクラホマ州法　</w:t>
      </w:r>
      <w:r w:rsidR="007043E5" w:rsidRPr="003D35C3">
        <w:rPr>
          <w:rFonts w:hAnsi="Wingdings" w:hint="eastAsia"/>
          <w:b/>
          <w:bCs/>
          <w:sz w:val="21"/>
          <w:szCs w:val="21"/>
          <w:u w:val="single"/>
        </w:rPr>
        <w:t>2022年11月1日</w:t>
      </w:r>
      <w:r w:rsidRPr="003D35C3">
        <w:rPr>
          <w:rFonts w:hAnsi="Wingdings" w:hint="eastAsia"/>
          <w:b/>
          <w:bCs/>
          <w:sz w:val="21"/>
          <w:szCs w:val="21"/>
          <w:u w:val="single"/>
        </w:rPr>
        <w:t>施行</w:t>
      </w:r>
    </w:p>
    <w:p w14:paraId="55DB120B" w14:textId="77777777"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前出のケンタッキー州法と同じ取引停止及び契約禁止。　例外規定もケンタッキー州法と同じくいろいろあり。</w:t>
      </w:r>
    </w:p>
    <w:p w14:paraId="50500963" w14:textId="77777777" w:rsidR="00F84177" w:rsidRPr="00F84177" w:rsidRDefault="00F84177" w:rsidP="00F84177">
      <w:pPr>
        <w:pStyle w:val="Default"/>
        <w:rPr>
          <w:rFonts w:hAnsi="Wingdings" w:hint="eastAsia"/>
          <w:sz w:val="21"/>
          <w:szCs w:val="21"/>
        </w:rPr>
      </w:pPr>
    </w:p>
    <w:p w14:paraId="2984E931" w14:textId="09AA6881"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テネシー州法　</w:t>
      </w:r>
      <w:r w:rsidR="007043E5" w:rsidRPr="003D35C3">
        <w:rPr>
          <w:rFonts w:hAnsi="Wingdings" w:hint="eastAsia"/>
          <w:b/>
          <w:bCs/>
          <w:sz w:val="21"/>
          <w:szCs w:val="21"/>
          <w:u w:val="single"/>
        </w:rPr>
        <w:t>2022年7月1日</w:t>
      </w:r>
      <w:r w:rsidRPr="003D35C3">
        <w:rPr>
          <w:rFonts w:hAnsi="Wingdings" w:hint="eastAsia"/>
          <w:b/>
          <w:bCs/>
          <w:sz w:val="21"/>
          <w:szCs w:val="21"/>
          <w:u w:val="single"/>
        </w:rPr>
        <w:t xml:space="preserve">施行　</w:t>
      </w:r>
    </w:p>
    <w:p w14:paraId="6AF2C88D" w14:textId="6F047BFD"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州の財務長官が化石燃料企業への金融を拒絶している企業との州の主たる</w:t>
      </w:r>
      <w:r w:rsidR="003D35C3">
        <w:rPr>
          <w:rFonts w:hAnsi="Wingdings" w:hint="eastAsia"/>
          <w:sz w:val="21"/>
          <w:szCs w:val="21"/>
        </w:rPr>
        <w:t xml:space="preserve">キャッシュ　</w:t>
      </w:r>
      <w:r w:rsidRPr="00F84177">
        <w:rPr>
          <w:rFonts w:hAnsi="Wingdings" w:hint="eastAsia"/>
          <w:sz w:val="21"/>
          <w:szCs w:val="21"/>
        </w:rPr>
        <w:t>マネジメントバンキングサービスの契約を締結したり修正したりすることを禁じる。</w:t>
      </w:r>
    </w:p>
    <w:p w14:paraId="7F04BB8F" w14:textId="77777777" w:rsidR="00F84177" w:rsidRPr="00F84177" w:rsidRDefault="00F84177" w:rsidP="00F84177">
      <w:pPr>
        <w:pStyle w:val="Default"/>
        <w:rPr>
          <w:rFonts w:hAnsi="Wingdings" w:hint="eastAsia"/>
          <w:sz w:val="21"/>
          <w:szCs w:val="21"/>
        </w:rPr>
      </w:pPr>
      <w:r w:rsidRPr="00F84177">
        <w:rPr>
          <w:rFonts w:hAnsi="Wingdings" w:hint="eastAsia"/>
          <w:sz w:val="21"/>
          <w:szCs w:val="21"/>
        </w:rPr>
        <w:t>例外規定あり。</w:t>
      </w:r>
    </w:p>
    <w:p w14:paraId="739C6458" w14:textId="77777777" w:rsidR="00F84177" w:rsidRPr="00F84177" w:rsidRDefault="00F84177" w:rsidP="00F84177">
      <w:pPr>
        <w:pStyle w:val="Default"/>
        <w:rPr>
          <w:rFonts w:hAnsi="Wingdings" w:hint="eastAsia"/>
          <w:sz w:val="21"/>
          <w:szCs w:val="21"/>
        </w:rPr>
      </w:pPr>
    </w:p>
    <w:p w14:paraId="51C26680" w14:textId="136211E0"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テキサス州法　</w:t>
      </w:r>
      <w:r w:rsidR="007043E5" w:rsidRPr="003D35C3">
        <w:rPr>
          <w:rFonts w:hAnsi="Wingdings" w:hint="eastAsia"/>
          <w:b/>
          <w:bCs/>
          <w:sz w:val="21"/>
          <w:szCs w:val="21"/>
          <w:u w:val="single"/>
        </w:rPr>
        <w:t>2021年9月1日</w:t>
      </w:r>
      <w:r w:rsidRPr="003D35C3">
        <w:rPr>
          <w:rFonts w:hAnsi="Wingdings" w:hint="eastAsia"/>
          <w:b/>
          <w:bCs/>
          <w:sz w:val="21"/>
          <w:szCs w:val="21"/>
          <w:u w:val="single"/>
        </w:rPr>
        <w:t>施行</w:t>
      </w:r>
    </w:p>
    <w:p w14:paraId="29E310F2" w14:textId="479ECAF8"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ケンタッキー州法及びオクラホマ州法と同じ取引停止及び契約禁止</w:t>
      </w:r>
      <w:r w:rsidR="003D35C3">
        <w:rPr>
          <w:rFonts w:hAnsi="Wingdings" w:hint="eastAsia"/>
          <w:sz w:val="21"/>
          <w:szCs w:val="21"/>
        </w:rPr>
        <w:t>。</w:t>
      </w:r>
    </w:p>
    <w:p w14:paraId="070DE298" w14:textId="77777777" w:rsidR="00F84177" w:rsidRPr="00F84177" w:rsidRDefault="00F84177" w:rsidP="00F84177">
      <w:pPr>
        <w:pStyle w:val="Default"/>
        <w:rPr>
          <w:rFonts w:hAnsi="Wingdings" w:hint="eastAsia"/>
          <w:sz w:val="21"/>
          <w:szCs w:val="21"/>
        </w:rPr>
      </w:pPr>
      <w:r w:rsidRPr="00F84177">
        <w:rPr>
          <w:rFonts w:hAnsi="Wingdings" w:hint="eastAsia"/>
          <w:sz w:val="21"/>
          <w:szCs w:val="21"/>
        </w:rPr>
        <w:t>例外規定もオクラホマ法と同じくいろいろあり。</w:t>
      </w:r>
    </w:p>
    <w:p w14:paraId="3ABA8A0E" w14:textId="77777777" w:rsidR="00F84177" w:rsidRPr="00F84177" w:rsidRDefault="00F84177" w:rsidP="00F84177">
      <w:pPr>
        <w:pStyle w:val="Default"/>
        <w:rPr>
          <w:rFonts w:hAnsi="Wingdings" w:hint="eastAsia"/>
          <w:sz w:val="21"/>
          <w:szCs w:val="21"/>
        </w:rPr>
      </w:pPr>
    </w:p>
    <w:p w14:paraId="214F14B4" w14:textId="2B710E66"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ウェストバージニア州法　</w:t>
      </w:r>
      <w:r w:rsidR="007043E5" w:rsidRPr="003D35C3">
        <w:rPr>
          <w:rFonts w:hAnsi="Wingdings" w:hint="eastAsia"/>
          <w:b/>
          <w:bCs/>
          <w:sz w:val="21"/>
          <w:szCs w:val="21"/>
          <w:u w:val="single"/>
        </w:rPr>
        <w:t>2022年6月10日</w:t>
      </w:r>
      <w:r w:rsidRPr="003D35C3">
        <w:rPr>
          <w:rFonts w:hAnsi="Wingdings" w:hint="eastAsia"/>
          <w:b/>
          <w:bCs/>
          <w:sz w:val="21"/>
          <w:szCs w:val="21"/>
          <w:u w:val="single"/>
        </w:rPr>
        <w:t>施行</w:t>
      </w:r>
    </w:p>
    <w:p w14:paraId="525EB648" w14:textId="47C574B2"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t>エネルギー会社のボイコットに参加した金融会社をリスト化し、州の銀行業務契約選定から排除し、それらの企業との契約に入ることを拒絶し、契約に入る場合には契約期間中にエネルギー会社のボイコットに参加しないことを条件とする権限を州の財務長官に付与した。最初のリストは</w:t>
      </w:r>
      <w:r w:rsidR="007043E5">
        <w:rPr>
          <w:rFonts w:hAnsi="Wingdings" w:hint="eastAsia"/>
          <w:sz w:val="21"/>
          <w:szCs w:val="21"/>
        </w:rPr>
        <w:t>2022年7月28日</w:t>
      </w:r>
      <w:r w:rsidRPr="00F84177">
        <w:rPr>
          <w:rFonts w:hAnsi="Wingdings" w:hint="eastAsia"/>
          <w:sz w:val="21"/>
          <w:szCs w:val="21"/>
        </w:rPr>
        <w:t>にリリースされている。</w:t>
      </w:r>
    </w:p>
    <w:p w14:paraId="1683DBC6" w14:textId="77777777" w:rsidR="00F84177" w:rsidRPr="00F84177" w:rsidRDefault="00F84177" w:rsidP="00F84177">
      <w:pPr>
        <w:pStyle w:val="Default"/>
        <w:rPr>
          <w:rFonts w:hAnsi="Wingdings" w:hint="eastAsia"/>
          <w:sz w:val="21"/>
          <w:szCs w:val="21"/>
        </w:rPr>
      </w:pPr>
    </w:p>
    <w:p w14:paraId="5B92F8D2" w14:textId="23B2A52D" w:rsidR="00F84177" w:rsidRPr="003D35C3" w:rsidRDefault="00F84177" w:rsidP="00F84177">
      <w:pPr>
        <w:pStyle w:val="Default"/>
        <w:rPr>
          <w:rFonts w:hAnsi="Wingdings" w:hint="eastAsia"/>
          <w:b/>
          <w:bCs/>
          <w:sz w:val="21"/>
          <w:szCs w:val="21"/>
          <w:u w:val="single"/>
        </w:rPr>
      </w:pPr>
      <w:r w:rsidRPr="003D35C3">
        <w:rPr>
          <w:rFonts w:hAnsi="Wingdings" w:hint="eastAsia"/>
          <w:b/>
          <w:bCs/>
          <w:sz w:val="21"/>
          <w:szCs w:val="21"/>
          <w:u w:val="single"/>
        </w:rPr>
        <w:t xml:space="preserve">ワイオミング州法　</w:t>
      </w:r>
      <w:r w:rsidR="007043E5" w:rsidRPr="003D35C3">
        <w:rPr>
          <w:rFonts w:hAnsi="Wingdings" w:hint="eastAsia"/>
          <w:b/>
          <w:bCs/>
          <w:sz w:val="21"/>
          <w:szCs w:val="21"/>
          <w:u w:val="single"/>
        </w:rPr>
        <w:t>2021年7月1日</w:t>
      </w:r>
      <w:r w:rsidRPr="003D35C3">
        <w:rPr>
          <w:rFonts w:hAnsi="Wingdings" w:hint="eastAsia"/>
          <w:b/>
          <w:bCs/>
          <w:sz w:val="21"/>
          <w:szCs w:val="21"/>
          <w:u w:val="single"/>
        </w:rPr>
        <w:t>施行</w:t>
      </w:r>
    </w:p>
    <w:p w14:paraId="30606B7A" w14:textId="77777777" w:rsidR="00F84177" w:rsidRPr="00F84177" w:rsidRDefault="00F84177" w:rsidP="003D35C3">
      <w:pPr>
        <w:pStyle w:val="Default"/>
        <w:ind w:firstLineChars="100" w:firstLine="210"/>
        <w:rPr>
          <w:rFonts w:hAnsi="Wingdings" w:hint="eastAsia"/>
          <w:sz w:val="21"/>
          <w:szCs w:val="21"/>
        </w:rPr>
      </w:pPr>
      <w:r w:rsidRPr="00F84177">
        <w:rPr>
          <w:rFonts w:hAnsi="Wingdings" w:hint="eastAsia"/>
          <w:sz w:val="21"/>
          <w:szCs w:val="21"/>
        </w:rPr>
        <w:lastRenderedPageBreak/>
        <w:t>金融機関が火器・兵器を扱う企業や協会に差別的な対応をすることを禁じる。</w:t>
      </w:r>
    </w:p>
    <w:p w14:paraId="7E080354" w14:textId="77777777" w:rsidR="00F84177" w:rsidRPr="00F84177" w:rsidRDefault="00F84177" w:rsidP="00F84177">
      <w:pPr>
        <w:pStyle w:val="Default"/>
        <w:rPr>
          <w:rFonts w:hAnsi="Wingdings" w:hint="eastAsia"/>
          <w:sz w:val="21"/>
          <w:szCs w:val="21"/>
        </w:rPr>
      </w:pPr>
      <w:r w:rsidRPr="00F84177">
        <w:rPr>
          <w:rFonts w:hAnsi="Wingdings" w:hint="eastAsia"/>
          <w:sz w:val="21"/>
          <w:szCs w:val="21"/>
        </w:rPr>
        <w:t>例外規定あり。</w:t>
      </w:r>
    </w:p>
    <w:p w14:paraId="1474AFD2" w14:textId="77777777" w:rsidR="00F84177" w:rsidRPr="00F84177" w:rsidRDefault="00F84177" w:rsidP="00F84177">
      <w:pPr>
        <w:pStyle w:val="Default"/>
        <w:rPr>
          <w:rFonts w:hAnsi="Wingdings" w:hint="eastAsia"/>
          <w:sz w:val="21"/>
          <w:szCs w:val="21"/>
        </w:rPr>
      </w:pPr>
    </w:p>
    <w:p w14:paraId="5B89B9F8" w14:textId="122C9E82" w:rsidR="00F84177" w:rsidRPr="00F84177" w:rsidRDefault="00F84177" w:rsidP="006B230E">
      <w:pPr>
        <w:pStyle w:val="Default"/>
        <w:numPr>
          <w:ilvl w:val="0"/>
          <w:numId w:val="19"/>
        </w:numPr>
        <w:rPr>
          <w:rFonts w:hAnsi="Wingdings" w:hint="eastAsia"/>
          <w:b/>
          <w:bCs/>
          <w:sz w:val="21"/>
          <w:szCs w:val="21"/>
        </w:rPr>
      </w:pPr>
      <w:r w:rsidRPr="00F84177">
        <w:rPr>
          <w:rFonts w:hAnsi="Wingdings" w:hint="eastAsia"/>
          <w:b/>
          <w:bCs/>
          <w:sz w:val="21"/>
          <w:szCs w:val="21"/>
        </w:rPr>
        <w:t>上記①と②を組み合わせた規制を行っている州</w:t>
      </w:r>
    </w:p>
    <w:p w14:paraId="4DB03F27" w14:textId="77777777" w:rsidR="00F84177" w:rsidRPr="00F84177" w:rsidRDefault="00F84177" w:rsidP="00F84177">
      <w:pPr>
        <w:pStyle w:val="Default"/>
        <w:rPr>
          <w:rFonts w:hAnsi="Wingdings" w:hint="eastAsia"/>
          <w:sz w:val="21"/>
          <w:szCs w:val="21"/>
        </w:rPr>
      </w:pPr>
    </w:p>
    <w:p w14:paraId="0C3B6AD7" w14:textId="77777777" w:rsidR="00181E07" w:rsidRDefault="00F84177" w:rsidP="00F84177">
      <w:pPr>
        <w:pStyle w:val="Default"/>
        <w:rPr>
          <w:rFonts w:hAnsi="Wingdings" w:hint="eastAsia"/>
          <w:sz w:val="21"/>
          <w:szCs w:val="21"/>
        </w:rPr>
      </w:pPr>
      <w:r w:rsidRPr="00F84177">
        <w:rPr>
          <w:rFonts w:hAnsi="Wingdings" w:hint="eastAsia"/>
          <w:sz w:val="21"/>
          <w:szCs w:val="21"/>
        </w:rPr>
        <w:t>フロリダ州ではデサンティス知事</w:t>
      </w:r>
      <w:r w:rsidR="00181E07">
        <w:rPr>
          <w:rFonts w:hAnsi="Wingdings" w:hint="eastAsia"/>
          <w:sz w:val="21"/>
          <w:szCs w:val="21"/>
        </w:rPr>
        <w:t>は以下のことを禁止する州法案を州議会に提示した。</w:t>
      </w:r>
    </w:p>
    <w:p w14:paraId="3EA09294" w14:textId="77777777" w:rsidR="00181E07" w:rsidRDefault="00F84177" w:rsidP="00181E07">
      <w:pPr>
        <w:pStyle w:val="Default"/>
        <w:numPr>
          <w:ilvl w:val="0"/>
          <w:numId w:val="11"/>
        </w:numPr>
        <w:rPr>
          <w:rFonts w:hAnsi="Wingdings" w:hint="eastAsia"/>
          <w:sz w:val="21"/>
          <w:szCs w:val="21"/>
        </w:rPr>
      </w:pPr>
      <w:r w:rsidRPr="00F84177">
        <w:rPr>
          <w:rFonts w:hAnsi="Wingdings" w:hint="eastAsia"/>
          <w:sz w:val="21"/>
          <w:szCs w:val="21"/>
        </w:rPr>
        <w:t>州と市町村における投資判断にESGを持ち込むこと</w:t>
      </w:r>
    </w:p>
    <w:p w14:paraId="70D2C87A" w14:textId="77777777" w:rsidR="00181E07" w:rsidRDefault="00181E07" w:rsidP="00181E07">
      <w:pPr>
        <w:pStyle w:val="Default"/>
        <w:numPr>
          <w:ilvl w:val="0"/>
          <w:numId w:val="11"/>
        </w:numPr>
        <w:rPr>
          <w:rFonts w:hAnsi="Wingdings" w:hint="eastAsia"/>
          <w:sz w:val="21"/>
          <w:szCs w:val="21"/>
        </w:rPr>
      </w:pPr>
      <w:r>
        <w:rPr>
          <w:rFonts w:hAnsi="Wingdings" w:hint="eastAsia"/>
          <w:sz w:val="21"/>
          <w:szCs w:val="21"/>
        </w:rPr>
        <w:t>ESGなどの企業活動にいそしむ会社が公的預金として政府の資金を保持すること</w:t>
      </w:r>
    </w:p>
    <w:p w14:paraId="4510C7BB" w14:textId="77777777" w:rsidR="00181E07" w:rsidRDefault="00181E07" w:rsidP="00181E07">
      <w:pPr>
        <w:pStyle w:val="Default"/>
        <w:numPr>
          <w:ilvl w:val="0"/>
          <w:numId w:val="11"/>
        </w:numPr>
        <w:rPr>
          <w:rFonts w:hAnsi="Wingdings" w:hint="eastAsia"/>
          <w:sz w:val="21"/>
          <w:szCs w:val="21"/>
        </w:rPr>
      </w:pPr>
      <w:r>
        <w:rPr>
          <w:rFonts w:hAnsi="Wingdings" w:hint="eastAsia"/>
          <w:sz w:val="21"/>
          <w:szCs w:val="21"/>
        </w:rPr>
        <w:t>州内の企業が調達や契約の相手先に対しESG要因を重視したり情報を要求したりすること</w:t>
      </w:r>
    </w:p>
    <w:p w14:paraId="7D738FC2" w14:textId="0CC29AC8" w:rsidR="00F84177" w:rsidRDefault="00181E07" w:rsidP="00181E07">
      <w:pPr>
        <w:pStyle w:val="Default"/>
        <w:numPr>
          <w:ilvl w:val="0"/>
          <w:numId w:val="11"/>
        </w:numPr>
        <w:rPr>
          <w:rFonts w:hAnsi="Wingdings" w:hint="eastAsia"/>
          <w:sz w:val="21"/>
          <w:szCs w:val="21"/>
        </w:rPr>
      </w:pPr>
      <w:r>
        <w:rPr>
          <w:rFonts w:hAnsi="Wingdings" w:hint="eastAsia"/>
          <w:sz w:val="21"/>
          <w:szCs w:val="21"/>
        </w:rPr>
        <w:t>州政府や市町村政府が債券発行の際にESG要因を用いること</w:t>
      </w:r>
    </w:p>
    <w:p w14:paraId="6510361A" w14:textId="68416345" w:rsidR="00181E07" w:rsidRDefault="00181E07" w:rsidP="00181E07">
      <w:pPr>
        <w:pStyle w:val="Default"/>
        <w:numPr>
          <w:ilvl w:val="0"/>
          <w:numId w:val="11"/>
        </w:numPr>
        <w:rPr>
          <w:rFonts w:hAnsi="Wingdings" w:hint="eastAsia"/>
          <w:sz w:val="21"/>
          <w:szCs w:val="21"/>
        </w:rPr>
      </w:pPr>
      <w:r>
        <w:rPr>
          <w:rFonts w:hAnsi="Wingdings" w:hint="eastAsia"/>
          <w:sz w:val="21"/>
          <w:szCs w:val="21"/>
        </w:rPr>
        <w:t>金融機関が顧客の宗教や政治、社会信条に基づき提供するサービスを差別すること</w:t>
      </w:r>
    </w:p>
    <w:p w14:paraId="62D07973" w14:textId="77777777" w:rsidR="00181E07" w:rsidRDefault="00181E07" w:rsidP="00181E07">
      <w:pPr>
        <w:pStyle w:val="Default"/>
        <w:rPr>
          <w:rFonts w:hAnsi="Wingdings" w:hint="eastAsia"/>
          <w:sz w:val="21"/>
          <w:szCs w:val="21"/>
        </w:rPr>
      </w:pPr>
    </w:p>
    <w:p w14:paraId="368F6EE5" w14:textId="0E5AC812" w:rsidR="00181E07" w:rsidRPr="00F84177" w:rsidRDefault="00181E07" w:rsidP="00181E07">
      <w:pPr>
        <w:pStyle w:val="Default"/>
        <w:rPr>
          <w:rFonts w:hAnsi="Wingdings" w:hint="eastAsia"/>
          <w:sz w:val="21"/>
          <w:szCs w:val="21"/>
        </w:rPr>
      </w:pPr>
      <w:r>
        <w:rPr>
          <w:rFonts w:hAnsi="Wingdings" w:hint="eastAsia"/>
          <w:sz w:val="21"/>
          <w:szCs w:val="21"/>
        </w:rPr>
        <w:t>オクラホマ州やアイオワ州でも同様の州法案が議会に提出されている。</w:t>
      </w:r>
    </w:p>
    <w:p w14:paraId="555F0873" w14:textId="77777777" w:rsidR="00F84177" w:rsidRDefault="00F84177" w:rsidP="00F84177">
      <w:pPr>
        <w:pStyle w:val="Default"/>
        <w:rPr>
          <w:rFonts w:hAnsi="Wingdings" w:hint="eastAsia"/>
          <w:sz w:val="21"/>
          <w:szCs w:val="21"/>
        </w:rPr>
      </w:pPr>
    </w:p>
    <w:p w14:paraId="3BDDDF72" w14:textId="0F84DB7D" w:rsidR="00181E07" w:rsidRPr="009B3ABE" w:rsidRDefault="00181E07" w:rsidP="006B230E">
      <w:pPr>
        <w:pStyle w:val="Default"/>
        <w:numPr>
          <w:ilvl w:val="0"/>
          <w:numId w:val="19"/>
        </w:numPr>
        <w:rPr>
          <w:rFonts w:hAnsi="Wingdings" w:hint="eastAsia"/>
          <w:b/>
          <w:bCs/>
          <w:sz w:val="21"/>
          <w:szCs w:val="21"/>
        </w:rPr>
      </w:pPr>
      <w:r w:rsidRPr="009B3ABE">
        <w:rPr>
          <w:rFonts w:hAnsi="Wingdings" w:hint="eastAsia"/>
          <w:b/>
          <w:bCs/>
          <w:sz w:val="21"/>
          <w:szCs w:val="21"/>
        </w:rPr>
        <w:t>投資戦略としてESG</w:t>
      </w:r>
      <w:r w:rsidR="00B6470A" w:rsidRPr="009B3ABE">
        <w:rPr>
          <w:rFonts w:hAnsi="Wingdings" w:hint="eastAsia"/>
          <w:b/>
          <w:bCs/>
          <w:sz w:val="21"/>
          <w:szCs w:val="21"/>
        </w:rPr>
        <w:t>要因を促進しようとしている州</w:t>
      </w:r>
    </w:p>
    <w:p w14:paraId="7CFB3BBE" w14:textId="77777777" w:rsidR="009B3ABE" w:rsidRDefault="009B3ABE" w:rsidP="00F84177">
      <w:pPr>
        <w:pStyle w:val="Default"/>
        <w:rPr>
          <w:rFonts w:hAnsi="Wingdings" w:hint="eastAsia"/>
          <w:sz w:val="21"/>
          <w:szCs w:val="21"/>
        </w:rPr>
      </w:pPr>
    </w:p>
    <w:p w14:paraId="39D41119" w14:textId="5C1717DC" w:rsidR="00F84177" w:rsidRDefault="007C68D5" w:rsidP="003D35C3">
      <w:pPr>
        <w:pStyle w:val="Default"/>
        <w:ind w:firstLineChars="100" w:firstLine="210"/>
        <w:rPr>
          <w:rFonts w:hAnsi="Wingdings" w:hint="eastAsia"/>
          <w:sz w:val="21"/>
          <w:szCs w:val="21"/>
        </w:rPr>
      </w:pPr>
      <w:r>
        <w:rPr>
          <w:rFonts w:hAnsi="Wingdings" w:hint="eastAsia"/>
          <w:sz w:val="21"/>
          <w:szCs w:val="21"/>
        </w:rPr>
        <w:t>以下の５つの州は公的年金基金投資にかかわる企業は、ESGポリシーを設けることを求める州法やポリシーを有する。</w:t>
      </w:r>
    </w:p>
    <w:p w14:paraId="0CF570D9" w14:textId="77777777" w:rsidR="007C68D5" w:rsidRDefault="007C68D5" w:rsidP="00F84177">
      <w:pPr>
        <w:pStyle w:val="Default"/>
        <w:rPr>
          <w:rFonts w:hAnsi="Wingdings" w:hint="eastAsia"/>
          <w:sz w:val="21"/>
          <w:szCs w:val="21"/>
        </w:rPr>
      </w:pPr>
    </w:p>
    <w:p w14:paraId="2140B01D" w14:textId="1CBF37AD" w:rsidR="007C68D5" w:rsidRPr="003D35C3" w:rsidRDefault="007C68D5" w:rsidP="00F84177">
      <w:pPr>
        <w:pStyle w:val="Default"/>
        <w:rPr>
          <w:rFonts w:hAnsi="Wingdings" w:hint="eastAsia"/>
          <w:b/>
          <w:bCs/>
          <w:sz w:val="21"/>
          <w:szCs w:val="21"/>
        </w:rPr>
      </w:pPr>
      <w:r w:rsidRPr="003D35C3">
        <w:rPr>
          <w:rFonts w:hAnsi="Wingdings" w:hint="eastAsia"/>
          <w:b/>
          <w:bCs/>
          <w:sz w:val="21"/>
          <w:szCs w:val="21"/>
        </w:rPr>
        <w:t>イリノイ州法　2020年1月1日施行</w:t>
      </w:r>
    </w:p>
    <w:p w14:paraId="7B36E9F7" w14:textId="439EC048" w:rsidR="007C68D5" w:rsidRPr="003D35C3" w:rsidRDefault="007C68D5" w:rsidP="00F84177">
      <w:pPr>
        <w:pStyle w:val="Default"/>
        <w:rPr>
          <w:rFonts w:hAnsi="Wingdings" w:hint="eastAsia"/>
          <w:b/>
          <w:bCs/>
          <w:sz w:val="21"/>
          <w:szCs w:val="21"/>
        </w:rPr>
      </w:pPr>
      <w:r w:rsidRPr="003D35C3">
        <w:rPr>
          <w:rFonts w:hAnsi="Wingdings" w:hint="eastAsia"/>
          <w:b/>
          <w:bCs/>
          <w:sz w:val="21"/>
          <w:szCs w:val="21"/>
        </w:rPr>
        <w:t>メリーランド州法　2022年6月1日施行</w:t>
      </w:r>
    </w:p>
    <w:p w14:paraId="7EE1B081" w14:textId="75A2A886" w:rsidR="007C68D5" w:rsidRPr="003D35C3" w:rsidRDefault="007043E5" w:rsidP="00F84177">
      <w:pPr>
        <w:pStyle w:val="Default"/>
        <w:rPr>
          <w:rFonts w:hAnsi="Wingdings" w:hint="eastAsia"/>
          <w:b/>
          <w:bCs/>
          <w:sz w:val="21"/>
          <w:szCs w:val="21"/>
        </w:rPr>
      </w:pPr>
      <w:r w:rsidRPr="003D35C3">
        <w:rPr>
          <w:rFonts w:hAnsi="Wingdings" w:hint="eastAsia"/>
          <w:b/>
          <w:bCs/>
          <w:sz w:val="21"/>
          <w:szCs w:val="21"/>
        </w:rPr>
        <w:t>ニューメキシコ州</w:t>
      </w:r>
      <w:r w:rsidR="004D6AF9" w:rsidRPr="003D35C3">
        <w:rPr>
          <w:rFonts w:hAnsi="Wingdings" w:hint="eastAsia"/>
          <w:b/>
          <w:bCs/>
          <w:sz w:val="21"/>
          <w:szCs w:val="21"/>
        </w:rPr>
        <w:t>投資会議による恒久基金のESGポリシー承認　2021年8月</w:t>
      </w:r>
    </w:p>
    <w:p w14:paraId="14FFF365" w14:textId="11C9F29C" w:rsidR="007C68D5" w:rsidRPr="003D35C3" w:rsidRDefault="009B3ABE" w:rsidP="00F84177">
      <w:pPr>
        <w:pStyle w:val="Default"/>
        <w:rPr>
          <w:rFonts w:hAnsi="Wingdings" w:hint="eastAsia"/>
          <w:b/>
          <w:bCs/>
          <w:sz w:val="21"/>
          <w:szCs w:val="21"/>
        </w:rPr>
      </w:pPr>
      <w:r w:rsidRPr="003D35C3">
        <w:rPr>
          <w:rFonts w:hAnsi="Wingdings" w:hint="eastAsia"/>
          <w:b/>
          <w:bCs/>
          <w:sz w:val="21"/>
          <w:szCs w:val="21"/>
        </w:rPr>
        <w:t>オレゴン州投資会議による退職年金基金のポリシー承認　2020年9月9日</w:t>
      </w:r>
    </w:p>
    <w:p w14:paraId="27483A1D" w14:textId="5EBAB8B7" w:rsidR="004D6AF9" w:rsidRPr="003D35C3" w:rsidRDefault="004D6AF9" w:rsidP="00F84177">
      <w:pPr>
        <w:pStyle w:val="Default"/>
        <w:rPr>
          <w:rFonts w:hAnsi="Wingdings" w:hint="eastAsia"/>
          <w:b/>
          <w:bCs/>
          <w:sz w:val="21"/>
          <w:szCs w:val="21"/>
        </w:rPr>
      </w:pPr>
      <w:r w:rsidRPr="003D35C3">
        <w:rPr>
          <w:rFonts w:hAnsi="Wingdings" w:hint="eastAsia"/>
          <w:b/>
          <w:bCs/>
          <w:sz w:val="21"/>
          <w:szCs w:val="21"/>
        </w:rPr>
        <w:t>テキサス州の退職システムのESGポリシーが2021年10月1日に施行</w:t>
      </w:r>
    </w:p>
    <w:p w14:paraId="5A477EA4" w14:textId="77777777" w:rsidR="007C68D5" w:rsidRDefault="007C68D5" w:rsidP="00F84177">
      <w:pPr>
        <w:pStyle w:val="Default"/>
        <w:rPr>
          <w:rFonts w:hAnsi="Wingdings" w:hint="eastAsia"/>
          <w:sz w:val="21"/>
          <w:szCs w:val="21"/>
        </w:rPr>
      </w:pPr>
    </w:p>
    <w:p w14:paraId="326FFD05" w14:textId="4DFC16F9" w:rsidR="007C68D5" w:rsidRPr="004D6AF9" w:rsidRDefault="004D6AF9" w:rsidP="006B230E">
      <w:pPr>
        <w:pStyle w:val="Default"/>
        <w:numPr>
          <w:ilvl w:val="0"/>
          <w:numId w:val="19"/>
        </w:numPr>
        <w:rPr>
          <w:rFonts w:hAnsi="Wingdings" w:hint="eastAsia"/>
          <w:b/>
          <w:bCs/>
          <w:sz w:val="21"/>
          <w:szCs w:val="21"/>
        </w:rPr>
      </w:pPr>
      <w:r w:rsidRPr="004D6AF9">
        <w:rPr>
          <w:rFonts w:hAnsi="Wingdings" w:hint="eastAsia"/>
          <w:b/>
          <w:bCs/>
          <w:sz w:val="21"/>
          <w:szCs w:val="21"/>
        </w:rPr>
        <w:t>ESGに否定的な産業への公的投資を禁じる州</w:t>
      </w:r>
    </w:p>
    <w:p w14:paraId="7A13CBC9" w14:textId="77777777" w:rsidR="007C68D5" w:rsidRPr="00F84177" w:rsidRDefault="007C68D5" w:rsidP="00F84177">
      <w:pPr>
        <w:pStyle w:val="Default"/>
        <w:rPr>
          <w:rFonts w:hAnsi="Wingdings" w:hint="eastAsia"/>
          <w:sz w:val="21"/>
          <w:szCs w:val="21"/>
        </w:rPr>
      </w:pPr>
    </w:p>
    <w:p w14:paraId="33640F08" w14:textId="77777777" w:rsidR="00A9483B" w:rsidRDefault="004D6AF9" w:rsidP="00F84177">
      <w:pPr>
        <w:pStyle w:val="Default"/>
        <w:rPr>
          <w:rFonts w:hAnsi="Wingdings" w:hint="eastAsia"/>
          <w:sz w:val="21"/>
          <w:szCs w:val="21"/>
        </w:rPr>
      </w:pPr>
      <w:r w:rsidRPr="003D35C3">
        <w:rPr>
          <w:rFonts w:hAnsi="Wingdings" w:hint="eastAsia"/>
          <w:b/>
          <w:bCs/>
          <w:sz w:val="21"/>
          <w:szCs w:val="21"/>
        </w:rPr>
        <w:t>メイン州法</w:t>
      </w:r>
      <w:r w:rsidR="00A9483B">
        <w:rPr>
          <w:rFonts w:hAnsi="Wingdings" w:hint="eastAsia"/>
          <w:sz w:val="21"/>
          <w:szCs w:val="21"/>
        </w:rPr>
        <w:t xml:space="preserve">　化石燃料企業との取引停止や、投資禁止を従業員退職システムや州政府に求</w:t>
      </w:r>
    </w:p>
    <w:p w14:paraId="4CEF5A48" w14:textId="07CF3655" w:rsidR="00A9483B" w:rsidRDefault="00A9483B" w:rsidP="00A9483B">
      <w:pPr>
        <w:pStyle w:val="Default"/>
        <w:ind w:left="840" w:firstLine="840"/>
        <w:rPr>
          <w:rFonts w:hAnsi="Wingdings" w:hint="eastAsia"/>
          <w:sz w:val="21"/>
          <w:szCs w:val="21"/>
        </w:rPr>
      </w:pPr>
      <w:r>
        <w:rPr>
          <w:rFonts w:hAnsi="Wingdings" w:hint="eastAsia"/>
          <w:sz w:val="21"/>
          <w:szCs w:val="21"/>
        </w:rPr>
        <w:t>めるもので2021年6月16日施行</w:t>
      </w:r>
    </w:p>
    <w:p w14:paraId="18C2CACD" w14:textId="77777777" w:rsidR="00EB286B" w:rsidRDefault="00A9483B" w:rsidP="00F84177">
      <w:pPr>
        <w:pStyle w:val="Default"/>
        <w:rPr>
          <w:rFonts w:hAnsi="Wingdings" w:hint="eastAsia"/>
          <w:sz w:val="21"/>
          <w:szCs w:val="21"/>
        </w:rPr>
      </w:pPr>
      <w:r w:rsidRPr="003D35C3">
        <w:rPr>
          <w:rFonts w:hAnsi="Wingdings" w:hint="eastAsia"/>
          <w:b/>
          <w:bCs/>
          <w:sz w:val="21"/>
          <w:szCs w:val="21"/>
        </w:rPr>
        <w:t>コネチカット州財務長官によるポリシー</w:t>
      </w:r>
      <w:r>
        <w:rPr>
          <w:rFonts w:hAnsi="Wingdings" w:hint="eastAsia"/>
          <w:sz w:val="21"/>
          <w:szCs w:val="21"/>
        </w:rPr>
        <w:t>で、州の退職プラント信託基金を武器製造企業に</w:t>
      </w:r>
    </w:p>
    <w:p w14:paraId="6313C7A0" w14:textId="77777777" w:rsidR="00EB286B" w:rsidRDefault="00A9483B" w:rsidP="00EB286B">
      <w:pPr>
        <w:pStyle w:val="Default"/>
        <w:ind w:firstLine="840"/>
        <w:rPr>
          <w:rFonts w:hAnsi="Wingdings" w:hint="eastAsia"/>
          <w:sz w:val="21"/>
          <w:szCs w:val="21"/>
        </w:rPr>
      </w:pPr>
      <w:r>
        <w:rPr>
          <w:rFonts w:hAnsi="Wingdings" w:hint="eastAsia"/>
          <w:sz w:val="21"/>
          <w:szCs w:val="21"/>
        </w:rPr>
        <w:t>投資することを禁止し、州の財務省との取引を望む金融機関には銃に関するポリ</w:t>
      </w:r>
    </w:p>
    <w:p w14:paraId="660C7AC8" w14:textId="03EAD5AC" w:rsidR="00A9483B" w:rsidRDefault="00A9483B" w:rsidP="00EB286B">
      <w:pPr>
        <w:pStyle w:val="Default"/>
        <w:ind w:firstLine="840"/>
        <w:rPr>
          <w:rFonts w:hAnsi="Wingdings" w:hint="eastAsia"/>
          <w:sz w:val="21"/>
          <w:szCs w:val="21"/>
        </w:rPr>
      </w:pPr>
      <w:r>
        <w:rPr>
          <w:rFonts w:hAnsi="Wingdings" w:hint="eastAsia"/>
          <w:sz w:val="21"/>
          <w:szCs w:val="21"/>
        </w:rPr>
        <w:t>シーの開示を求める。2020年2月19日に施行。</w:t>
      </w:r>
    </w:p>
    <w:p w14:paraId="51A65E3B" w14:textId="77777777" w:rsidR="00EB286B" w:rsidRDefault="00A9483B" w:rsidP="00F84177">
      <w:pPr>
        <w:pStyle w:val="Default"/>
        <w:rPr>
          <w:rFonts w:hAnsi="Wingdings" w:hint="eastAsia"/>
          <w:sz w:val="21"/>
          <w:szCs w:val="21"/>
        </w:rPr>
      </w:pPr>
      <w:r w:rsidRPr="003D35C3">
        <w:rPr>
          <w:rFonts w:hAnsi="Wingdings" w:hint="eastAsia"/>
          <w:b/>
          <w:bCs/>
          <w:sz w:val="21"/>
          <w:szCs w:val="21"/>
        </w:rPr>
        <w:t>マサチューセッツ州PRIM委員会代理投票ガイドライン</w:t>
      </w:r>
      <w:r>
        <w:rPr>
          <w:rFonts w:hAnsi="Wingdings" w:hint="eastAsia"/>
          <w:sz w:val="21"/>
          <w:szCs w:val="21"/>
        </w:rPr>
        <w:t>で、州の年金基金</w:t>
      </w:r>
      <w:r w:rsidR="00EB286B">
        <w:rPr>
          <w:rFonts w:hAnsi="Wingdings" w:hint="eastAsia"/>
          <w:sz w:val="21"/>
          <w:szCs w:val="21"/>
        </w:rPr>
        <w:t>でパリ協定を尊重</w:t>
      </w:r>
    </w:p>
    <w:p w14:paraId="12EDBA39" w14:textId="08DE4269" w:rsidR="00A9483B" w:rsidRDefault="00EB286B" w:rsidP="00EB286B">
      <w:pPr>
        <w:pStyle w:val="Default"/>
        <w:ind w:firstLine="840"/>
        <w:rPr>
          <w:rFonts w:hAnsi="Wingdings" w:hint="eastAsia"/>
          <w:sz w:val="21"/>
          <w:szCs w:val="21"/>
        </w:rPr>
      </w:pPr>
      <w:r>
        <w:rPr>
          <w:rFonts w:hAnsi="Wingdings" w:hint="eastAsia"/>
          <w:sz w:val="21"/>
          <w:szCs w:val="21"/>
        </w:rPr>
        <w:t>していない企業の取締役を否決することを認めるもの。2022年3月1日施行。</w:t>
      </w:r>
    </w:p>
    <w:p w14:paraId="10F74315" w14:textId="739C7C2D" w:rsidR="00A14CCB" w:rsidRDefault="00EB286B" w:rsidP="00F84177">
      <w:pPr>
        <w:pStyle w:val="Default"/>
        <w:rPr>
          <w:rFonts w:hAnsi="Wingdings" w:hint="eastAsia"/>
          <w:sz w:val="21"/>
          <w:szCs w:val="21"/>
        </w:rPr>
      </w:pPr>
      <w:r w:rsidRPr="003D35C3">
        <w:rPr>
          <w:rFonts w:hAnsi="Wingdings" w:hint="eastAsia"/>
          <w:b/>
          <w:bCs/>
          <w:sz w:val="21"/>
          <w:szCs w:val="21"/>
        </w:rPr>
        <w:t>ネバダ州財務長官通知</w:t>
      </w:r>
      <w:r w:rsidR="003D35C3">
        <w:rPr>
          <w:rFonts w:hAnsi="Wingdings" w:hint="eastAsia"/>
          <w:sz w:val="21"/>
          <w:szCs w:val="21"/>
        </w:rPr>
        <w:t xml:space="preserve">　</w:t>
      </w:r>
      <w:r>
        <w:rPr>
          <w:rFonts w:hAnsi="Wingdings" w:hint="eastAsia"/>
          <w:sz w:val="21"/>
          <w:szCs w:val="21"/>
        </w:rPr>
        <w:t xml:space="preserve">　攻撃兵器を販売ないし製造する企業</w:t>
      </w:r>
      <w:r w:rsidR="00A14CCB">
        <w:rPr>
          <w:rFonts w:hAnsi="Wingdings" w:hint="eastAsia"/>
          <w:sz w:val="21"/>
          <w:szCs w:val="21"/>
        </w:rPr>
        <w:t>への投資分を売却する。</w:t>
      </w:r>
    </w:p>
    <w:p w14:paraId="15FD65B6" w14:textId="0DE1228D" w:rsidR="00EB286B" w:rsidRPr="00F84177" w:rsidRDefault="00A14CCB" w:rsidP="00A14CCB">
      <w:pPr>
        <w:pStyle w:val="Default"/>
        <w:ind w:left="1680" w:firstLine="840"/>
        <w:rPr>
          <w:rFonts w:hAnsi="Wingdings" w:hint="eastAsia"/>
          <w:sz w:val="21"/>
          <w:szCs w:val="21"/>
        </w:rPr>
      </w:pPr>
      <w:r>
        <w:rPr>
          <w:rFonts w:hAnsi="Wingdings" w:hint="eastAsia"/>
          <w:sz w:val="21"/>
          <w:szCs w:val="21"/>
        </w:rPr>
        <w:lastRenderedPageBreak/>
        <w:t>2022年6月</w:t>
      </w:r>
    </w:p>
    <w:p w14:paraId="6129E600" w14:textId="77777777" w:rsidR="00C15C87" w:rsidRDefault="00A14CCB" w:rsidP="005B2171">
      <w:pPr>
        <w:pStyle w:val="Default"/>
        <w:rPr>
          <w:rFonts w:hAnsi="Wingdings" w:hint="eastAsia"/>
          <w:sz w:val="21"/>
          <w:szCs w:val="21"/>
        </w:rPr>
      </w:pPr>
      <w:r w:rsidRPr="003D35C3">
        <w:rPr>
          <w:rFonts w:hAnsi="Wingdings" w:hint="eastAsia"/>
          <w:b/>
          <w:bCs/>
          <w:sz w:val="21"/>
          <w:szCs w:val="21"/>
        </w:rPr>
        <w:t>ニューヨーク州教職員退職システム</w:t>
      </w:r>
      <w:r>
        <w:rPr>
          <w:rFonts w:hAnsi="Wingdings" w:hint="eastAsia"/>
          <w:sz w:val="21"/>
          <w:szCs w:val="21"/>
        </w:rPr>
        <w:t xml:space="preserve">　石油・ガス及び石炭の貯蔵への投資を止め、石炭の</w:t>
      </w:r>
    </w:p>
    <w:p w14:paraId="47C45CD6" w14:textId="3D9D9355" w:rsidR="00F84177" w:rsidRDefault="00A14CCB" w:rsidP="00C15C87">
      <w:pPr>
        <w:pStyle w:val="Default"/>
        <w:ind w:left="2520" w:firstLineChars="500" w:firstLine="1050"/>
        <w:rPr>
          <w:rFonts w:hAnsi="Wingdings" w:hint="eastAsia"/>
          <w:sz w:val="21"/>
          <w:szCs w:val="21"/>
        </w:rPr>
      </w:pPr>
      <w:r>
        <w:rPr>
          <w:rFonts w:hAnsi="Wingdings" w:hint="eastAsia"/>
          <w:sz w:val="21"/>
          <w:szCs w:val="21"/>
        </w:rPr>
        <w:t>権益を売却。2021年12月28日</w:t>
      </w:r>
    </w:p>
    <w:p w14:paraId="2E591FE2" w14:textId="77777777" w:rsidR="00C15C87" w:rsidRDefault="00A14CCB" w:rsidP="005B2171">
      <w:pPr>
        <w:pStyle w:val="Default"/>
        <w:rPr>
          <w:rFonts w:hAnsi="Wingdings" w:hint="eastAsia"/>
          <w:sz w:val="21"/>
          <w:szCs w:val="21"/>
        </w:rPr>
      </w:pPr>
      <w:r w:rsidRPr="003D35C3">
        <w:rPr>
          <w:rFonts w:hAnsi="Wingdings" w:hint="eastAsia"/>
          <w:b/>
          <w:bCs/>
          <w:sz w:val="21"/>
          <w:szCs w:val="21"/>
        </w:rPr>
        <w:t>ロードアイランド州年金イニシアチブ</w:t>
      </w:r>
      <w:r>
        <w:rPr>
          <w:rFonts w:hAnsi="Wingdings" w:hint="eastAsia"/>
          <w:sz w:val="21"/>
          <w:szCs w:val="21"/>
        </w:rPr>
        <w:t xml:space="preserve">　</w:t>
      </w:r>
      <w:r w:rsidR="00C15C87">
        <w:rPr>
          <w:rFonts w:hAnsi="Wingdings" w:hint="eastAsia"/>
          <w:sz w:val="21"/>
          <w:szCs w:val="21"/>
        </w:rPr>
        <w:t>一般用途に攻撃兵器を製造する会社や利潤追求型</w:t>
      </w:r>
    </w:p>
    <w:p w14:paraId="3484813C" w14:textId="4C56DB6A" w:rsidR="00C15C87" w:rsidRDefault="00C15C87" w:rsidP="00C15C87">
      <w:pPr>
        <w:pStyle w:val="Default"/>
        <w:ind w:left="840"/>
        <w:rPr>
          <w:rFonts w:hAnsi="Wingdings" w:hint="eastAsia"/>
          <w:sz w:val="21"/>
          <w:szCs w:val="21"/>
        </w:rPr>
      </w:pPr>
      <w:r>
        <w:rPr>
          <w:rFonts w:hAnsi="Wingdings" w:hint="eastAsia"/>
          <w:sz w:val="21"/>
          <w:szCs w:val="21"/>
        </w:rPr>
        <w:t>の民間刑務所を運用する会社への公的年金基金の持ち分の売却を州の投資委員会に求める。　2020年1月22日</w:t>
      </w:r>
    </w:p>
    <w:p w14:paraId="112E7079" w14:textId="77777777" w:rsidR="00C15C87" w:rsidRDefault="00C15C87" w:rsidP="005B2171">
      <w:pPr>
        <w:pStyle w:val="Default"/>
        <w:rPr>
          <w:rFonts w:hAnsi="Wingdings" w:hint="eastAsia"/>
          <w:sz w:val="21"/>
          <w:szCs w:val="21"/>
        </w:rPr>
      </w:pPr>
    </w:p>
    <w:p w14:paraId="26BFE0AE" w14:textId="5EDB8276" w:rsidR="00A14CCB" w:rsidRPr="00C15C87" w:rsidRDefault="00C15C87" w:rsidP="006B230E">
      <w:pPr>
        <w:pStyle w:val="Default"/>
        <w:numPr>
          <w:ilvl w:val="0"/>
          <w:numId w:val="19"/>
        </w:numPr>
        <w:rPr>
          <w:rFonts w:hAnsi="Wingdings" w:hint="eastAsia"/>
          <w:b/>
          <w:bCs/>
          <w:sz w:val="21"/>
          <w:szCs w:val="21"/>
        </w:rPr>
      </w:pPr>
      <w:r w:rsidRPr="00C15C87">
        <w:rPr>
          <w:rFonts w:hAnsi="Wingdings" w:hint="eastAsia"/>
          <w:b/>
          <w:bCs/>
          <w:sz w:val="21"/>
          <w:szCs w:val="21"/>
        </w:rPr>
        <w:t>社業を通じ排出される温室効果ガスを常時モニターし、開示することを求める州</w:t>
      </w:r>
    </w:p>
    <w:p w14:paraId="70B32812" w14:textId="77777777" w:rsidR="00A14CCB" w:rsidRDefault="00A14CCB" w:rsidP="005B2171">
      <w:pPr>
        <w:pStyle w:val="Default"/>
        <w:rPr>
          <w:rFonts w:hAnsi="Wingdings" w:hint="eastAsia"/>
          <w:sz w:val="21"/>
          <w:szCs w:val="21"/>
        </w:rPr>
      </w:pPr>
    </w:p>
    <w:p w14:paraId="05FA854A" w14:textId="77777777" w:rsidR="00C15C87" w:rsidRDefault="00C15C87" w:rsidP="005B2171">
      <w:pPr>
        <w:pStyle w:val="Default"/>
        <w:rPr>
          <w:rFonts w:hAnsi="Wingdings" w:hint="eastAsia"/>
          <w:sz w:val="21"/>
          <w:szCs w:val="21"/>
        </w:rPr>
      </w:pPr>
      <w:r w:rsidRPr="004A59DA">
        <w:rPr>
          <w:rFonts w:hAnsi="Wingdings" w:hint="eastAsia"/>
          <w:b/>
          <w:bCs/>
          <w:sz w:val="21"/>
          <w:szCs w:val="21"/>
        </w:rPr>
        <w:t>カリフォルニア州法案</w:t>
      </w:r>
      <w:r>
        <w:rPr>
          <w:rFonts w:hAnsi="Wingdings" w:hint="eastAsia"/>
          <w:sz w:val="21"/>
          <w:szCs w:val="21"/>
        </w:rPr>
        <w:t xml:space="preserve">　カリフォルニア州にある企業で年間売り上げが10億ドルを超える企業に排出量の登記を公に行うことを求める規制をカリフォルニア州大気資源委員会に求めるもの。</w:t>
      </w:r>
    </w:p>
    <w:p w14:paraId="220A3929" w14:textId="2EF3E136" w:rsidR="00AE2DA1" w:rsidRDefault="00C15C87" w:rsidP="004A59DA">
      <w:pPr>
        <w:pStyle w:val="Default"/>
        <w:ind w:firstLineChars="100" w:firstLine="210"/>
        <w:rPr>
          <w:rFonts w:hAnsi="Wingdings" w:hint="eastAsia"/>
          <w:sz w:val="21"/>
          <w:szCs w:val="21"/>
        </w:rPr>
      </w:pPr>
      <w:r>
        <w:rPr>
          <w:rFonts w:hAnsi="Wingdings" w:hint="eastAsia"/>
          <w:sz w:val="21"/>
          <w:szCs w:val="21"/>
        </w:rPr>
        <w:t>同法案は</w:t>
      </w:r>
      <w:r w:rsidR="00AE2DA1">
        <w:rPr>
          <w:rFonts w:hAnsi="Wingdings" w:hint="eastAsia"/>
          <w:sz w:val="21"/>
          <w:szCs w:val="21"/>
        </w:rPr>
        <w:t>、上場企業はもとよりすべての民間企業に対し気候変動リスクの開示を求める法案となっている。さらに</w:t>
      </w:r>
      <w:r w:rsidR="001534D7">
        <w:rPr>
          <w:rFonts w:hAnsi="Wingdings" w:hint="eastAsia"/>
          <w:sz w:val="21"/>
          <w:szCs w:val="21"/>
        </w:rPr>
        <w:t>その開示対象の排出の範囲</w:t>
      </w:r>
      <w:r w:rsidR="00AE2DA1">
        <w:rPr>
          <w:rFonts w:hAnsi="Wingdings" w:hint="eastAsia"/>
          <w:sz w:val="21"/>
          <w:szCs w:val="21"/>
        </w:rPr>
        <w:t>は、SECが現在準備中の規制が求める排出量の開示範囲よりも</w:t>
      </w:r>
      <w:r w:rsidR="001534D7">
        <w:rPr>
          <w:rFonts w:hAnsi="Wingdings" w:hint="eastAsia"/>
          <w:sz w:val="21"/>
          <w:szCs w:val="21"/>
        </w:rPr>
        <w:t>広く、SECの規制では開示内容についての</w:t>
      </w:r>
      <w:r w:rsidR="00AE2DA1">
        <w:rPr>
          <w:rFonts w:hAnsi="Wingdings" w:hint="eastAsia"/>
          <w:sz w:val="21"/>
          <w:szCs w:val="21"/>
        </w:rPr>
        <w:t>第三者の確認は必要としない</w:t>
      </w:r>
      <w:r w:rsidR="001534D7">
        <w:rPr>
          <w:rFonts w:hAnsi="Wingdings" w:hint="eastAsia"/>
          <w:sz w:val="21"/>
          <w:szCs w:val="21"/>
        </w:rPr>
        <w:t>のに対し、カリフォルニア州法案では</w:t>
      </w:r>
      <w:r w:rsidR="00AE2DA1">
        <w:rPr>
          <w:rFonts w:hAnsi="Wingdings" w:hint="eastAsia"/>
          <w:sz w:val="21"/>
          <w:szCs w:val="21"/>
        </w:rPr>
        <w:t>その開示内容を第三者に監査させることを求め</w:t>
      </w:r>
      <w:r w:rsidR="001534D7">
        <w:rPr>
          <w:rFonts w:hAnsi="Wingdings" w:hint="eastAsia"/>
          <w:sz w:val="21"/>
          <w:szCs w:val="21"/>
        </w:rPr>
        <w:t>ている</w:t>
      </w:r>
      <w:r w:rsidR="00AE2DA1">
        <w:rPr>
          <w:rFonts w:hAnsi="Wingdings" w:hint="eastAsia"/>
          <w:sz w:val="21"/>
          <w:szCs w:val="21"/>
        </w:rPr>
        <w:t>。</w:t>
      </w:r>
    </w:p>
    <w:p w14:paraId="6B6C422B" w14:textId="591D2652" w:rsidR="00AE2DA1" w:rsidRDefault="00E541F6" w:rsidP="004A59DA">
      <w:pPr>
        <w:pStyle w:val="Default"/>
        <w:ind w:firstLineChars="100" w:firstLine="210"/>
        <w:rPr>
          <w:rFonts w:hAnsi="Wingdings" w:hint="eastAsia"/>
          <w:sz w:val="21"/>
          <w:szCs w:val="21"/>
        </w:rPr>
      </w:pPr>
      <w:r>
        <w:rPr>
          <w:rFonts w:hAnsi="Wingdings" w:hint="eastAsia"/>
          <w:sz w:val="21"/>
          <w:szCs w:val="21"/>
        </w:rPr>
        <w:t>ニューヨーク州も特定の企業に気候関連の財務リスクl報告の知事への提出と公開を</w:t>
      </w:r>
      <w:r w:rsidR="004A59DA">
        <w:rPr>
          <w:rFonts w:hAnsi="Wingdings" w:hint="eastAsia"/>
          <w:sz w:val="21"/>
          <w:szCs w:val="21"/>
        </w:rPr>
        <w:t xml:space="preserve">　</w:t>
      </w:r>
      <w:r>
        <w:rPr>
          <w:rFonts w:hAnsi="Wingdings" w:hint="eastAsia"/>
          <w:sz w:val="21"/>
          <w:szCs w:val="21"/>
        </w:rPr>
        <w:t>毎年求める州法を審議中。</w:t>
      </w:r>
    </w:p>
    <w:p w14:paraId="454A577C" w14:textId="77777777" w:rsidR="00E541F6" w:rsidRDefault="00E541F6" w:rsidP="005B2171">
      <w:pPr>
        <w:pStyle w:val="Default"/>
        <w:rPr>
          <w:rFonts w:hAnsi="Wingdings" w:hint="eastAsia"/>
          <w:sz w:val="21"/>
          <w:szCs w:val="21"/>
        </w:rPr>
      </w:pPr>
    </w:p>
    <w:p w14:paraId="0807794B" w14:textId="77777777" w:rsidR="002921BC" w:rsidRDefault="002921BC" w:rsidP="005B2171">
      <w:pPr>
        <w:pStyle w:val="Default"/>
        <w:rPr>
          <w:rFonts w:hAnsi="Wingdings" w:hint="eastAsia"/>
          <w:sz w:val="21"/>
          <w:szCs w:val="21"/>
        </w:rPr>
      </w:pPr>
    </w:p>
    <w:p w14:paraId="796396B6" w14:textId="77777777" w:rsidR="004A59DA" w:rsidRDefault="006B230E" w:rsidP="004A59DA">
      <w:pPr>
        <w:pStyle w:val="Default"/>
        <w:ind w:left="3162" w:hangingChars="1500" w:hanging="3162"/>
        <w:rPr>
          <w:rFonts w:hAnsi="Wingdings" w:hint="eastAsia"/>
          <w:sz w:val="21"/>
          <w:szCs w:val="21"/>
        </w:rPr>
      </w:pPr>
      <w:r>
        <w:rPr>
          <w:rFonts w:hAnsi="Wingdings" w:hint="eastAsia"/>
          <w:b/>
          <w:bCs/>
          <w:sz w:val="21"/>
          <w:szCs w:val="21"/>
        </w:rPr>
        <w:t xml:space="preserve">② </w:t>
      </w:r>
      <w:r w:rsidR="00E541F6" w:rsidRPr="00E541F6">
        <w:rPr>
          <w:rFonts w:hAnsi="Wingdings" w:hint="eastAsia"/>
          <w:b/>
          <w:bCs/>
          <w:sz w:val="21"/>
          <w:szCs w:val="21"/>
        </w:rPr>
        <w:t>カリフォルニア州法のその後</w:t>
      </w:r>
      <w:r w:rsidR="004A59DA">
        <w:rPr>
          <w:rFonts w:hAnsi="Wingdings" w:hint="eastAsia"/>
          <w:b/>
          <w:bCs/>
          <w:sz w:val="21"/>
          <w:szCs w:val="21"/>
        </w:rPr>
        <w:t xml:space="preserve">　　</w:t>
      </w:r>
      <w:r w:rsidR="00E541F6" w:rsidRPr="00E541F6">
        <w:rPr>
          <w:rFonts w:hAnsi="Wingdings"/>
          <w:b/>
          <w:bCs/>
          <w:sz w:val="21"/>
          <w:szCs w:val="21"/>
        </w:rPr>
        <w:tab/>
      </w:r>
      <w:r w:rsidR="00E541F6" w:rsidRPr="00E541F6">
        <w:rPr>
          <w:rFonts w:hAnsi="Wingdings" w:hint="eastAsia"/>
          <w:b/>
          <w:bCs/>
          <w:sz w:val="21"/>
          <w:szCs w:val="21"/>
        </w:rPr>
        <w:t>ソース：</w:t>
      </w:r>
      <w:r w:rsidR="00E541F6" w:rsidRPr="00E541F6">
        <w:rPr>
          <w:rFonts w:hAnsi="Wingdings"/>
          <w:b/>
          <w:bCs/>
          <w:sz w:val="21"/>
          <w:szCs w:val="21"/>
        </w:rPr>
        <w:t>COLUMBIA LAW SCHOOL'S BLOG ON</w:t>
      </w:r>
      <w:r w:rsidR="00E541F6" w:rsidRPr="00E541F6">
        <w:rPr>
          <w:rFonts w:hAnsi="Wingdings"/>
          <w:sz w:val="21"/>
          <w:szCs w:val="21"/>
        </w:rPr>
        <w:t xml:space="preserve"> </w:t>
      </w:r>
      <w:r w:rsidR="004A59DA">
        <w:rPr>
          <w:rFonts w:hAnsi="Wingdings" w:hint="eastAsia"/>
          <w:sz w:val="21"/>
          <w:szCs w:val="21"/>
        </w:rPr>
        <w:t xml:space="preserve">　</w:t>
      </w:r>
    </w:p>
    <w:p w14:paraId="50EC0DA1" w14:textId="7C99CC09" w:rsidR="00E541F6" w:rsidRPr="00A80DE3" w:rsidRDefault="00E541F6" w:rsidP="004A59DA">
      <w:pPr>
        <w:pStyle w:val="Default"/>
        <w:ind w:leftChars="700" w:left="1470" w:firstLineChars="1300" w:firstLine="2741"/>
        <w:rPr>
          <w:rFonts w:hAnsi="Wingdings" w:hint="eastAsia"/>
          <w:b/>
          <w:bCs/>
          <w:sz w:val="21"/>
          <w:szCs w:val="21"/>
        </w:rPr>
      </w:pPr>
      <w:r w:rsidRPr="00A80DE3">
        <w:rPr>
          <w:rFonts w:hAnsi="Wingdings"/>
          <w:b/>
          <w:bCs/>
          <w:sz w:val="21"/>
          <w:szCs w:val="21"/>
        </w:rPr>
        <w:t>CORPORATIONS AND THE CAPITAL MARKETS</w:t>
      </w:r>
    </w:p>
    <w:p w14:paraId="1A5FF3DD" w14:textId="77777777" w:rsidR="002921BC" w:rsidRDefault="002921BC" w:rsidP="005B2171">
      <w:pPr>
        <w:pStyle w:val="Default"/>
        <w:rPr>
          <w:rFonts w:hAnsi="Wingdings" w:hint="eastAsia"/>
          <w:sz w:val="21"/>
          <w:szCs w:val="21"/>
        </w:rPr>
      </w:pPr>
    </w:p>
    <w:p w14:paraId="3E6819BD" w14:textId="089A942D" w:rsidR="004A59DA" w:rsidRDefault="00BB3D0D" w:rsidP="004A59DA">
      <w:pPr>
        <w:pStyle w:val="Default"/>
        <w:ind w:firstLineChars="100" w:firstLine="210"/>
        <w:rPr>
          <w:rFonts w:hAnsi="Wingdings" w:hint="eastAsia"/>
          <w:sz w:val="21"/>
          <w:szCs w:val="21"/>
        </w:rPr>
      </w:pPr>
      <w:r>
        <w:rPr>
          <w:rFonts w:hAnsi="Wingdings" w:hint="eastAsia"/>
          <w:sz w:val="21"/>
          <w:szCs w:val="21"/>
        </w:rPr>
        <w:t>１つは</w:t>
      </w:r>
      <w:r w:rsidR="00764167">
        <w:rPr>
          <w:rFonts w:hAnsi="Wingdings" w:hint="eastAsia"/>
          <w:sz w:val="21"/>
          <w:szCs w:val="21"/>
        </w:rPr>
        <w:t>C</w:t>
      </w:r>
      <w:r w:rsidR="00764167">
        <w:rPr>
          <w:rFonts w:hAnsi="Wingdings"/>
          <w:sz w:val="21"/>
          <w:szCs w:val="21"/>
        </w:rPr>
        <w:t>limate-Related Financial Risk Act</w:t>
      </w:r>
      <w:r w:rsidR="00764167">
        <w:rPr>
          <w:rFonts w:hAnsi="Wingdings" w:hint="eastAsia"/>
          <w:sz w:val="21"/>
          <w:szCs w:val="21"/>
        </w:rPr>
        <w:t>で、</w:t>
      </w:r>
      <w:r w:rsidR="0000219C">
        <w:rPr>
          <w:rFonts w:hAnsi="Wingdings" w:hint="eastAsia"/>
          <w:sz w:val="21"/>
          <w:szCs w:val="21"/>
        </w:rPr>
        <w:t>2023年</w:t>
      </w:r>
      <w:r w:rsidR="00764167">
        <w:rPr>
          <w:rFonts w:hAnsi="Wingdings" w:hint="eastAsia"/>
          <w:sz w:val="21"/>
          <w:szCs w:val="21"/>
        </w:rPr>
        <w:t>5月30日に州の上院を通過し、下院にわたっている。</w:t>
      </w:r>
    </w:p>
    <w:p w14:paraId="1751D73A" w14:textId="77777777" w:rsidR="004A59DA" w:rsidRDefault="00764167" w:rsidP="004A59DA">
      <w:pPr>
        <w:pStyle w:val="Default"/>
        <w:rPr>
          <w:rFonts w:hAnsi="Wingdings" w:hint="eastAsia"/>
          <w:sz w:val="21"/>
          <w:szCs w:val="21"/>
        </w:rPr>
      </w:pPr>
      <w:r>
        <w:rPr>
          <w:rFonts w:hAnsi="Wingdings" w:hint="eastAsia"/>
          <w:sz w:val="21"/>
          <w:szCs w:val="21"/>
        </w:rPr>
        <w:t>これは</w:t>
      </w:r>
      <w:r w:rsidR="00BB3D0D">
        <w:rPr>
          <w:rFonts w:hAnsi="Wingdings" w:hint="eastAsia"/>
          <w:sz w:val="21"/>
          <w:szCs w:val="21"/>
        </w:rPr>
        <w:t>州内</w:t>
      </w:r>
      <w:r w:rsidR="001527ED">
        <w:rPr>
          <w:rFonts w:hAnsi="Wingdings" w:hint="eastAsia"/>
          <w:sz w:val="21"/>
          <w:szCs w:val="21"/>
        </w:rPr>
        <w:t>で年間売り上げが5億ドルを超える企業</w:t>
      </w:r>
      <w:r w:rsidR="00BB3D0D">
        <w:rPr>
          <w:rFonts w:hAnsi="Wingdings" w:hint="eastAsia"/>
          <w:sz w:val="21"/>
          <w:szCs w:val="21"/>
        </w:rPr>
        <w:t>が気候変動リスクを評価し、財務面の影響</w:t>
      </w:r>
      <w:r>
        <w:rPr>
          <w:rFonts w:hAnsi="Wingdings" w:hint="eastAsia"/>
          <w:sz w:val="21"/>
          <w:szCs w:val="21"/>
        </w:rPr>
        <w:t>とそのリスクをどう管理するかについて毎年開示することを求める法案。</w:t>
      </w:r>
    </w:p>
    <w:p w14:paraId="48751259" w14:textId="3AB044F2" w:rsidR="00AE2DA1" w:rsidRDefault="001527ED" w:rsidP="004A59DA">
      <w:pPr>
        <w:pStyle w:val="Default"/>
        <w:rPr>
          <w:rFonts w:hAnsi="Wingdings" w:hint="eastAsia"/>
          <w:sz w:val="21"/>
          <w:szCs w:val="21"/>
        </w:rPr>
      </w:pPr>
      <w:r>
        <w:rPr>
          <w:rFonts w:hAnsi="Wingdings" w:hint="eastAsia"/>
          <w:sz w:val="21"/>
          <w:szCs w:val="21"/>
        </w:rPr>
        <w:t>このリスク評価にはT</w:t>
      </w:r>
      <w:r>
        <w:rPr>
          <w:rFonts w:hAnsi="Wingdings"/>
          <w:sz w:val="21"/>
          <w:szCs w:val="21"/>
        </w:rPr>
        <w:t>ask Force on Climate-related Financial Disclosures</w:t>
      </w:r>
      <w:r>
        <w:rPr>
          <w:rFonts w:hAnsi="Wingdings" w:hint="eastAsia"/>
          <w:sz w:val="21"/>
          <w:szCs w:val="21"/>
        </w:rPr>
        <w:t>のスタンダードを使い、開示情報は第三者の監査を必要とする。</w:t>
      </w:r>
    </w:p>
    <w:p w14:paraId="68C68FF2" w14:textId="659937DC" w:rsidR="001527ED" w:rsidRDefault="001527ED" w:rsidP="004A59DA">
      <w:pPr>
        <w:pStyle w:val="Default"/>
        <w:ind w:firstLineChars="100" w:firstLine="210"/>
        <w:rPr>
          <w:rFonts w:hAnsi="Wingdings" w:hint="eastAsia"/>
          <w:sz w:val="21"/>
          <w:szCs w:val="21"/>
        </w:rPr>
      </w:pPr>
      <w:r>
        <w:rPr>
          <w:rFonts w:hAnsi="Wingdings" w:hint="eastAsia"/>
          <w:sz w:val="21"/>
          <w:szCs w:val="21"/>
        </w:rPr>
        <w:t>州内で</w:t>
      </w:r>
      <w:r w:rsidR="004A59DA">
        <w:rPr>
          <w:rFonts w:hAnsi="Wingdings" w:hint="eastAsia"/>
          <w:sz w:val="21"/>
          <w:szCs w:val="21"/>
        </w:rPr>
        <w:t>この情報開示</w:t>
      </w:r>
      <w:r>
        <w:rPr>
          <w:rFonts w:hAnsi="Wingdings" w:hint="eastAsia"/>
          <w:sz w:val="21"/>
          <w:szCs w:val="21"/>
        </w:rPr>
        <w:t>対象となる企業は1万社を超えるが、その内上場企業は20%程度と見込まれる。</w:t>
      </w:r>
    </w:p>
    <w:p w14:paraId="3B69734B" w14:textId="02FEA521" w:rsidR="00764167" w:rsidRDefault="00764167" w:rsidP="004A59DA">
      <w:pPr>
        <w:pStyle w:val="Default"/>
        <w:ind w:firstLineChars="100" w:firstLine="210"/>
        <w:rPr>
          <w:rFonts w:hAnsi="Wingdings" w:hint="eastAsia"/>
          <w:sz w:val="21"/>
          <w:szCs w:val="21"/>
        </w:rPr>
      </w:pPr>
      <w:r>
        <w:rPr>
          <w:rFonts w:hAnsi="Wingdings" w:hint="eastAsia"/>
          <w:sz w:val="21"/>
          <w:szCs w:val="21"/>
        </w:rPr>
        <w:t>もう１つは</w:t>
      </w:r>
      <w:r w:rsidR="001527ED">
        <w:rPr>
          <w:rFonts w:hAnsi="Wingdings" w:hint="eastAsia"/>
          <w:sz w:val="21"/>
          <w:szCs w:val="21"/>
        </w:rPr>
        <w:t>C</w:t>
      </w:r>
      <w:r w:rsidR="001527ED">
        <w:rPr>
          <w:rFonts w:hAnsi="Wingdings"/>
          <w:sz w:val="21"/>
          <w:szCs w:val="21"/>
        </w:rPr>
        <w:t>limate Corporate Data Accountability Act</w:t>
      </w:r>
      <w:r w:rsidR="001527ED">
        <w:rPr>
          <w:rFonts w:hAnsi="Wingdings" w:hint="eastAsia"/>
          <w:sz w:val="21"/>
          <w:szCs w:val="21"/>
        </w:rPr>
        <w:t>で、同じく5月30日に州の上院を通過し、現在下院にて審議されている。こちらは</w:t>
      </w:r>
      <w:r>
        <w:rPr>
          <w:rFonts w:hAnsi="Wingdings" w:hint="eastAsia"/>
          <w:sz w:val="21"/>
          <w:szCs w:val="21"/>
        </w:rPr>
        <w:t>州内</w:t>
      </w:r>
      <w:r w:rsidR="001527ED">
        <w:rPr>
          <w:rFonts w:hAnsi="Wingdings" w:hint="eastAsia"/>
          <w:sz w:val="21"/>
          <w:szCs w:val="21"/>
        </w:rPr>
        <w:t>で年間売り上げが10億ドルを超える</w:t>
      </w:r>
      <w:r>
        <w:rPr>
          <w:rFonts w:hAnsi="Wingdings" w:hint="eastAsia"/>
          <w:sz w:val="21"/>
          <w:szCs w:val="21"/>
        </w:rPr>
        <w:t>企業の温室効果ガス排出量の報告義務を定めるもの。</w:t>
      </w:r>
    </w:p>
    <w:p w14:paraId="1D6B23AA" w14:textId="245A0AC6" w:rsidR="001527ED" w:rsidRDefault="0056400C" w:rsidP="004A59DA">
      <w:pPr>
        <w:pStyle w:val="Default"/>
        <w:ind w:firstLineChars="100" w:firstLine="210"/>
        <w:rPr>
          <w:rFonts w:hAnsi="Wingdings" w:hint="eastAsia"/>
          <w:sz w:val="21"/>
          <w:szCs w:val="21"/>
        </w:rPr>
      </w:pPr>
      <w:r>
        <w:rPr>
          <w:rFonts w:hAnsi="Wingdings" w:hint="eastAsia"/>
          <w:sz w:val="21"/>
          <w:szCs w:val="21"/>
        </w:rPr>
        <w:t>California Air Resource</w:t>
      </w:r>
      <w:r>
        <w:rPr>
          <w:rFonts w:hAnsi="Wingdings"/>
          <w:sz w:val="21"/>
          <w:szCs w:val="21"/>
        </w:rPr>
        <w:t>s</w:t>
      </w:r>
      <w:r>
        <w:rPr>
          <w:rFonts w:hAnsi="Wingdings" w:hint="eastAsia"/>
          <w:sz w:val="21"/>
          <w:szCs w:val="21"/>
        </w:rPr>
        <w:t xml:space="preserve"> Boardは2025年1月1日までに排出量報告の様式を定め、2026</w:t>
      </w:r>
      <w:r>
        <w:rPr>
          <w:rFonts w:hAnsi="Wingdings" w:hint="eastAsia"/>
          <w:sz w:val="21"/>
          <w:szCs w:val="21"/>
        </w:rPr>
        <w:lastRenderedPageBreak/>
        <w:t>年にまずScope1とScope2の排出報告を出させ、2027年からScope3の排出量を報告させる。</w:t>
      </w:r>
    </w:p>
    <w:p w14:paraId="03D48443" w14:textId="7CB49CE4" w:rsidR="001527ED" w:rsidRDefault="001527ED" w:rsidP="004A59DA">
      <w:pPr>
        <w:pStyle w:val="Default"/>
        <w:ind w:firstLineChars="100" w:firstLine="210"/>
        <w:rPr>
          <w:rFonts w:hAnsi="Wingdings" w:hint="eastAsia"/>
          <w:sz w:val="21"/>
          <w:szCs w:val="21"/>
        </w:rPr>
      </w:pPr>
      <w:r>
        <w:rPr>
          <w:rFonts w:hAnsi="Wingdings" w:hint="eastAsia"/>
          <w:sz w:val="21"/>
          <w:szCs w:val="21"/>
        </w:rPr>
        <w:t>両法案とも報告義務を怠った企業に対する罰金として最大50万ドルを定めている。</w:t>
      </w:r>
    </w:p>
    <w:p w14:paraId="539EDBB4" w14:textId="52F89188" w:rsidR="00764167" w:rsidRDefault="00764167" w:rsidP="004A59DA">
      <w:pPr>
        <w:pStyle w:val="Default"/>
        <w:ind w:firstLineChars="100" w:firstLine="210"/>
        <w:rPr>
          <w:rFonts w:hAnsi="Wingdings" w:hint="eastAsia"/>
          <w:sz w:val="21"/>
          <w:szCs w:val="21"/>
        </w:rPr>
      </w:pPr>
      <w:r>
        <w:rPr>
          <w:rFonts w:hAnsi="Wingdings" w:hint="eastAsia"/>
          <w:sz w:val="21"/>
          <w:szCs w:val="21"/>
        </w:rPr>
        <w:t>州内の大手企業ではIKEA Supply、マイクロソフト、Salesforce等が、そして中堅企業の多くがこの州法への賛意を公表している。</w:t>
      </w:r>
    </w:p>
    <w:p w14:paraId="78BDAA9E" w14:textId="77777777" w:rsidR="004A59DA" w:rsidRDefault="00764167" w:rsidP="004A59DA">
      <w:pPr>
        <w:pStyle w:val="Default"/>
        <w:ind w:firstLineChars="100" w:firstLine="210"/>
        <w:rPr>
          <w:rFonts w:hAnsi="Wingdings" w:hint="eastAsia"/>
          <w:sz w:val="21"/>
          <w:szCs w:val="21"/>
        </w:rPr>
      </w:pPr>
      <w:r>
        <w:rPr>
          <w:rFonts w:hAnsi="Wingdings" w:hint="eastAsia"/>
          <w:sz w:val="21"/>
          <w:szCs w:val="21"/>
        </w:rPr>
        <w:t>欧州委員会が採用したCorporate Sustainability Reporting Directiveが今年1月に</w:t>
      </w:r>
      <w:r w:rsidR="004A59DA">
        <w:rPr>
          <w:rFonts w:hAnsi="Wingdings" w:hint="eastAsia"/>
          <w:sz w:val="21"/>
          <w:szCs w:val="21"/>
        </w:rPr>
        <w:t xml:space="preserve">　</w:t>
      </w:r>
      <w:r>
        <w:rPr>
          <w:rFonts w:hAnsi="Wingdings" w:hint="eastAsia"/>
          <w:sz w:val="21"/>
          <w:szCs w:val="21"/>
        </w:rPr>
        <w:t>施行され、米国企業を含め49,000もの企業がこの新たなルールに従うことになることもこれらのカリフォルニア州法案を後押ししている。</w:t>
      </w:r>
    </w:p>
    <w:p w14:paraId="3C8EC5A5" w14:textId="387EEFAE" w:rsidR="00764167" w:rsidRDefault="00764167" w:rsidP="004A59DA">
      <w:pPr>
        <w:pStyle w:val="Default"/>
        <w:ind w:firstLineChars="100" w:firstLine="210"/>
        <w:rPr>
          <w:rFonts w:hAnsi="Wingdings" w:hint="eastAsia"/>
          <w:sz w:val="21"/>
          <w:szCs w:val="21"/>
        </w:rPr>
      </w:pPr>
      <w:r>
        <w:rPr>
          <w:rFonts w:hAnsi="Wingdings" w:hint="eastAsia"/>
          <w:sz w:val="21"/>
          <w:szCs w:val="21"/>
        </w:rPr>
        <w:t>同様にI</w:t>
      </w:r>
      <w:r>
        <w:rPr>
          <w:rFonts w:hAnsi="Wingdings"/>
          <w:sz w:val="21"/>
          <w:szCs w:val="21"/>
        </w:rPr>
        <w:t>nternational Sustainability Standards Board</w:t>
      </w:r>
      <w:r>
        <w:rPr>
          <w:rFonts w:hAnsi="Wingdings" w:hint="eastAsia"/>
          <w:sz w:val="21"/>
          <w:szCs w:val="21"/>
        </w:rPr>
        <w:t>が今年6月30日に気候変動関連の情報開示についての最初のスタンダードを公表したことも同様に追い風となっている。</w:t>
      </w:r>
    </w:p>
    <w:p w14:paraId="616868EC" w14:textId="77777777" w:rsidR="00B81A77" w:rsidRDefault="00B81A77" w:rsidP="005B2171">
      <w:pPr>
        <w:pStyle w:val="Default"/>
        <w:rPr>
          <w:rFonts w:hAnsi="Wingdings" w:hint="eastAsia"/>
          <w:sz w:val="21"/>
          <w:szCs w:val="21"/>
        </w:rPr>
      </w:pPr>
    </w:p>
    <w:p w14:paraId="18F8E00A" w14:textId="77777777" w:rsidR="004A59DA" w:rsidRDefault="004A59DA" w:rsidP="004A59DA">
      <w:pPr>
        <w:widowControl/>
        <w:jc w:val="left"/>
        <w:rPr>
          <w:rFonts w:hAnsi="Wingdings" w:hint="eastAsia"/>
          <w:b/>
          <w:bCs/>
          <w:szCs w:val="21"/>
        </w:rPr>
      </w:pPr>
    </w:p>
    <w:p w14:paraId="4764AA7F" w14:textId="71991649" w:rsidR="004A59DA" w:rsidRDefault="004A59DA" w:rsidP="004A59DA">
      <w:pPr>
        <w:widowControl/>
        <w:jc w:val="left"/>
        <w:rPr>
          <w:rFonts w:hAnsi="Wingdings" w:hint="eastAsia"/>
          <w:b/>
          <w:bCs/>
          <w:szCs w:val="21"/>
        </w:rPr>
      </w:pPr>
      <w:r>
        <w:rPr>
          <w:rFonts w:hAnsi="Wingdings" w:hint="eastAsia"/>
          <w:b/>
          <w:bCs/>
          <w:szCs w:val="21"/>
        </w:rPr>
        <w:t>３．</w:t>
      </w:r>
      <w:r w:rsidRPr="00C85E78">
        <w:rPr>
          <w:rFonts w:hAnsi="Wingdings" w:hint="eastAsia"/>
          <w:b/>
          <w:bCs/>
          <w:szCs w:val="21"/>
        </w:rPr>
        <w:t>地政学上のリスク</w:t>
      </w:r>
      <w:r>
        <w:rPr>
          <w:rFonts w:hAnsi="Wingdings" w:hint="eastAsia"/>
          <w:b/>
          <w:bCs/>
          <w:szCs w:val="21"/>
        </w:rPr>
        <w:t xml:space="preserve">　―　対中依存度情報の開示</w:t>
      </w:r>
      <w:r>
        <w:rPr>
          <w:rFonts w:hAnsi="Wingdings"/>
          <w:b/>
          <w:bCs/>
          <w:szCs w:val="21"/>
        </w:rPr>
        <w:tab/>
      </w:r>
    </w:p>
    <w:p w14:paraId="7BED9211" w14:textId="77777777" w:rsidR="004A59DA" w:rsidRPr="00C85E78" w:rsidRDefault="004A59DA" w:rsidP="004A59DA">
      <w:pPr>
        <w:pStyle w:val="Default"/>
        <w:ind w:left="840" w:firstLine="840"/>
        <w:rPr>
          <w:rFonts w:hAnsi="Wingdings" w:hint="eastAsia"/>
          <w:b/>
          <w:bCs/>
          <w:sz w:val="21"/>
          <w:szCs w:val="21"/>
        </w:rPr>
      </w:pPr>
      <w:r>
        <w:rPr>
          <w:rFonts w:hAnsi="Wingdings" w:hint="eastAsia"/>
          <w:b/>
          <w:bCs/>
          <w:sz w:val="21"/>
          <w:szCs w:val="21"/>
        </w:rPr>
        <w:t>ソース：　元SECの弁護士兼ファンドマネジャーのM</w:t>
      </w:r>
      <w:r>
        <w:rPr>
          <w:rFonts w:hAnsi="Wingdings"/>
          <w:b/>
          <w:bCs/>
          <w:sz w:val="21"/>
          <w:szCs w:val="21"/>
        </w:rPr>
        <w:t>illoy</w:t>
      </w:r>
      <w:r>
        <w:rPr>
          <w:rFonts w:hAnsi="Wingdings" w:hint="eastAsia"/>
          <w:b/>
          <w:bCs/>
          <w:sz w:val="21"/>
          <w:szCs w:val="21"/>
        </w:rPr>
        <w:t>氏</w:t>
      </w:r>
    </w:p>
    <w:p w14:paraId="64097E66" w14:textId="77777777" w:rsidR="004A59DA" w:rsidRDefault="004A59DA" w:rsidP="004A59DA">
      <w:pPr>
        <w:pStyle w:val="Default"/>
        <w:rPr>
          <w:rFonts w:hAnsi="Wingdings" w:hint="eastAsia"/>
          <w:sz w:val="21"/>
          <w:szCs w:val="21"/>
        </w:rPr>
      </w:pPr>
    </w:p>
    <w:p w14:paraId="5B43025E" w14:textId="77777777" w:rsidR="004A59DA" w:rsidRDefault="004A59DA" w:rsidP="00606EAC">
      <w:pPr>
        <w:pStyle w:val="Default"/>
        <w:ind w:firstLineChars="100" w:firstLine="210"/>
        <w:rPr>
          <w:rFonts w:hAnsi="Wingdings" w:hint="eastAsia"/>
          <w:sz w:val="21"/>
          <w:szCs w:val="21"/>
        </w:rPr>
      </w:pPr>
      <w:r>
        <w:rPr>
          <w:rFonts w:hAnsi="Wingdings" w:hint="eastAsia"/>
          <w:sz w:val="21"/>
          <w:szCs w:val="21"/>
        </w:rPr>
        <w:t>昨年のロシアによるウクライナ侵攻の後、それが米国の上場企業にどのような悪影響を及ぼし得るのかについてSECが上場企業に情報開示を促している。</w:t>
      </w:r>
    </w:p>
    <w:p w14:paraId="34BEBEE5" w14:textId="77777777" w:rsidR="004A59DA" w:rsidRDefault="004A59DA" w:rsidP="00606EAC">
      <w:pPr>
        <w:pStyle w:val="Default"/>
        <w:ind w:firstLineChars="100" w:firstLine="210"/>
        <w:rPr>
          <w:rFonts w:hAnsi="Wingdings" w:hint="eastAsia"/>
          <w:sz w:val="21"/>
          <w:szCs w:val="21"/>
        </w:rPr>
      </w:pPr>
      <w:r>
        <w:rPr>
          <w:rFonts w:hAnsi="Wingdings" w:hint="eastAsia"/>
          <w:sz w:val="21"/>
          <w:szCs w:val="21"/>
        </w:rPr>
        <w:t>一方、3MとVerizonといった大手上場企業の株主もSECに対し対中依存度情報の株主への開示を求めることへの許可を求め、SECも同意している。</w:t>
      </w:r>
    </w:p>
    <w:p w14:paraId="14AE1C81" w14:textId="77777777" w:rsidR="004A59DA" w:rsidRDefault="004A59DA" w:rsidP="00606EAC">
      <w:pPr>
        <w:pStyle w:val="Default"/>
        <w:ind w:firstLineChars="100" w:firstLine="210"/>
        <w:rPr>
          <w:rFonts w:hAnsi="Wingdings" w:hint="eastAsia"/>
          <w:sz w:val="21"/>
          <w:szCs w:val="21"/>
        </w:rPr>
      </w:pPr>
      <w:r>
        <w:rPr>
          <w:rFonts w:hAnsi="Wingdings" w:hint="eastAsia"/>
          <w:sz w:val="21"/>
          <w:szCs w:val="21"/>
        </w:rPr>
        <w:t>この株主はさらにSECに対し上場企業の対中依存度情報、即ち①対中売上、②中国からの購入、③中国における資産保有高、並びに④中国に登録されている企業への持ち株比率を開示させるルール作りを求めている。</w:t>
      </w:r>
    </w:p>
    <w:p w14:paraId="63F2B8C7" w14:textId="77777777" w:rsidR="004A59DA" w:rsidRDefault="004A59DA" w:rsidP="00846D10">
      <w:pPr>
        <w:pStyle w:val="Default"/>
        <w:rPr>
          <w:rFonts w:hAnsi="Wingdings" w:hint="eastAsia"/>
          <w:b/>
          <w:bCs/>
          <w:sz w:val="21"/>
          <w:szCs w:val="21"/>
        </w:rPr>
      </w:pPr>
    </w:p>
    <w:p w14:paraId="5B7A685B" w14:textId="1EB79A4E" w:rsidR="004A59DA" w:rsidRDefault="004A59DA">
      <w:pPr>
        <w:widowControl/>
        <w:jc w:val="left"/>
        <w:rPr>
          <w:rFonts w:ascii="ＭＳ 明朝" w:eastAsia="ＭＳ 明朝" w:hAnsi="Wingdings" w:cs="ＭＳ 明朝" w:hint="eastAsia"/>
          <w:b/>
          <w:bCs/>
          <w:color w:val="000000"/>
          <w:kern w:val="0"/>
          <w:szCs w:val="21"/>
        </w:rPr>
      </w:pPr>
      <w:r>
        <w:rPr>
          <w:rFonts w:hAnsi="Wingdings" w:hint="eastAsia"/>
          <w:b/>
          <w:bCs/>
          <w:szCs w:val="21"/>
        </w:rPr>
        <w:br w:type="page"/>
      </w:r>
    </w:p>
    <w:p w14:paraId="04A75E6F" w14:textId="4A258F06" w:rsidR="004A59DA" w:rsidRDefault="004A59DA" w:rsidP="00846D10">
      <w:pPr>
        <w:pStyle w:val="Default"/>
        <w:rPr>
          <w:rFonts w:hAnsi="Wingdings" w:hint="eastAsia"/>
          <w:b/>
          <w:bCs/>
          <w:sz w:val="21"/>
          <w:szCs w:val="21"/>
        </w:rPr>
      </w:pPr>
      <w:r>
        <w:rPr>
          <w:rFonts w:hAnsi="Wingdings" w:hint="eastAsia"/>
          <w:b/>
          <w:bCs/>
          <w:sz w:val="21"/>
          <w:szCs w:val="21"/>
        </w:rPr>
        <w:lastRenderedPageBreak/>
        <w:t>４．人口動態の切り口</w:t>
      </w:r>
    </w:p>
    <w:p w14:paraId="2FD14142" w14:textId="77777777" w:rsidR="004A59DA" w:rsidRDefault="004A59DA" w:rsidP="00846D10">
      <w:pPr>
        <w:pStyle w:val="Default"/>
        <w:rPr>
          <w:rFonts w:hAnsi="Wingdings" w:hint="eastAsia"/>
          <w:b/>
          <w:bCs/>
          <w:sz w:val="21"/>
          <w:szCs w:val="21"/>
        </w:rPr>
      </w:pPr>
    </w:p>
    <w:p w14:paraId="45D61305" w14:textId="5ACFBACE" w:rsidR="004A59DA" w:rsidRPr="002921BC" w:rsidRDefault="004A59DA" w:rsidP="004A59DA">
      <w:pPr>
        <w:pStyle w:val="Default"/>
        <w:numPr>
          <w:ilvl w:val="0"/>
          <w:numId w:val="20"/>
        </w:numPr>
        <w:rPr>
          <w:rFonts w:hAnsi="Wingdings" w:hint="eastAsia"/>
          <w:b/>
          <w:bCs/>
          <w:sz w:val="21"/>
          <w:szCs w:val="21"/>
        </w:rPr>
      </w:pPr>
      <w:r w:rsidRPr="002921BC">
        <w:rPr>
          <w:rFonts w:hAnsi="Wingdings" w:hint="eastAsia"/>
          <w:b/>
          <w:bCs/>
          <w:sz w:val="21"/>
          <w:szCs w:val="21"/>
        </w:rPr>
        <w:t>米国のESG投資に関する世代間の指向性</w:t>
      </w:r>
      <w:r w:rsidRPr="002921BC">
        <w:rPr>
          <w:rFonts w:hAnsi="Wingdings"/>
          <w:b/>
          <w:bCs/>
          <w:sz w:val="21"/>
          <w:szCs w:val="21"/>
        </w:rPr>
        <w:tab/>
      </w:r>
      <w:r w:rsidRPr="002921BC">
        <w:rPr>
          <w:rFonts w:hAnsi="Wingdings" w:hint="eastAsia"/>
          <w:b/>
          <w:bCs/>
          <w:sz w:val="21"/>
          <w:szCs w:val="21"/>
        </w:rPr>
        <w:t>ソース：スタンフォード大学</w:t>
      </w:r>
    </w:p>
    <w:p w14:paraId="40A47DE2" w14:textId="77777777" w:rsidR="004A59DA" w:rsidRDefault="004A59DA" w:rsidP="004A59DA">
      <w:pPr>
        <w:pStyle w:val="Default"/>
        <w:rPr>
          <w:rFonts w:hAnsi="Wingdings" w:hint="eastAsia"/>
          <w:sz w:val="21"/>
          <w:szCs w:val="21"/>
        </w:rPr>
      </w:pPr>
    </w:p>
    <w:p w14:paraId="5F244AD3" w14:textId="72181D3C" w:rsidR="004A59DA" w:rsidRDefault="004A59DA" w:rsidP="004A59DA">
      <w:pPr>
        <w:pStyle w:val="Default"/>
        <w:ind w:firstLineChars="100" w:firstLine="210"/>
        <w:rPr>
          <w:rFonts w:hAnsi="Wingdings" w:hint="eastAsia"/>
          <w:sz w:val="21"/>
          <w:szCs w:val="21"/>
        </w:rPr>
      </w:pPr>
      <w:r w:rsidRPr="002921BC">
        <w:rPr>
          <w:rFonts w:hAnsi="Wingdings" w:hint="eastAsia"/>
          <w:sz w:val="21"/>
          <w:szCs w:val="21"/>
        </w:rPr>
        <w:t>2022年夏、スタンフォード大学経営大学院、スタンフォード大学フーバー研究所コーポレート・ガバナンス・ワーキング・グループ、スタンフォード大学ロック・コーポレート・ガバナンス・センターは共同で、米国の投資家が投資先企業のESGの優先順位をどのように見ているかを把握するため、性別、人種、年齢、世帯収入、居住州別に分布する全国2,470人の投資家を対象に調査を実施した。主な調査結果は以下の通り：</w:t>
      </w:r>
    </w:p>
    <w:p w14:paraId="388F19EC" w14:textId="77777777" w:rsidR="004A59DA" w:rsidRPr="002921BC" w:rsidRDefault="004A59DA" w:rsidP="004A59DA">
      <w:pPr>
        <w:pStyle w:val="Default"/>
        <w:ind w:firstLineChars="100" w:firstLine="210"/>
        <w:rPr>
          <w:rFonts w:hAnsi="Wingdings" w:hint="eastAsia"/>
          <w:sz w:val="21"/>
          <w:szCs w:val="21"/>
        </w:rPr>
      </w:pPr>
    </w:p>
    <w:p w14:paraId="0E576762" w14:textId="77777777"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ESGに対する投資家の見方は年齢によって正反対。</w:t>
      </w:r>
    </w:p>
    <w:p w14:paraId="4A25DAAA" w14:textId="40776049"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若い投資家は、ファンドマネジャー</w:t>
      </w:r>
      <w:r w:rsidR="0000219C">
        <w:rPr>
          <w:rFonts w:hAnsi="Wingdings" w:hint="eastAsia"/>
          <w:sz w:val="21"/>
          <w:szCs w:val="21"/>
        </w:rPr>
        <w:t>が</w:t>
      </w:r>
      <w:r w:rsidRPr="002921BC">
        <w:rPr>
          <w:rFonts w:hAnsi="Wingdings" w:hint="eastAsia"/>
          <w:sz w:val="21"/>
          <w:szCs w:val="21"/>
        </w:rPr>
        <w:t>環境的・社会的</w:t>
      </w:r>
      <w:r w:rsidR="0000219C">
        <w:rPr>
          <w:rFonts w:hAnsi="Wingdings" w:hint="eastAsia"/>
          <w:sz w:val="21"/>
          <w:szCs w:val="21"/>
        </w:rPr>
        <w:t>価値</w:t>
      </w:r>
      <w:r w:rsidRPr="002921BC">
        <w:rPr>
          <w:rFonts w:hAnsi="Wingdings" w:hint="eastAsia"/>
          <w:sz w:val="21"/>
          <w:szCs w:val="21"/>
        </w:rPr>
        <w:t>を提唱することを望む。</w:t>
      </w:r>
      <w:r w:rsidR="0000219C">
        <w:rPr>
          <w:rFonts w:hAnsi="Wingdings" w:hint="eastAsia"/>
          <w:sz w:val="21"/>
          <w:szCs w:val="21"/>
        </w:rPr>
        <w:t xml:space="preserve">　</w:t>
      </w:r>
      <w:r>
        <w:rPr>
          <w:rFonts w:hAnsi="Wingdings" w:hint="eastAsia"/>
          <w:sz w:val="21"/>
          <w:szCs w:val="21"/>
        </w:rPr>
        <w:t>年配</w:t>
      </w:r>
      <w:r w:rsidRPr="002921BC">
        <w:rPr>
          <w:rFonts w:hAnsi="Wingdings" w:hint="eastAsia"/>
          <w:sz w:val="21"/>
          <w:szCs w:val="21"/>
        </w:rPr>
        <w:t>の投資家は、ファンドマネジャーが財務的リターンを得ることに固執することを望んでいる。</w:t>
      </w:r>
    </w:p>
    <w:p w14:paraId="29429136" w14:textId="77777777"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若い投資家は、ESGを支持するためなら退職後の貯蓄の6～10％を失っても構わないと主張している。</w:t>
      </w:r>
      <w:r>
        <w:rPr>
          <w:rFonts w:hAnsi="Wingdings" w:hint="eastAsia"/>
          <w:sz w:val="21"/>
          <w:szCs w:val="21"/>
        </w:rPr>
        <w:t>年配</w:t>
      </w:r>
      <w:r w:rsidRPr="002921BC">
        <w:rPr>
          <w:rFonts w:hAnsi="Wingdings" w:hint="eastAsia"/>
          <w:sz w:val="21"/>
          <w:szCs w:val="21"/>
        </w:rPr>
        <w:t>の投資家は何も失いたくはない。</w:t>
      </w:r>
    </w:p>
    <w:p w14:paraId="79C99C35" w14:textId="77777777"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若い投資家は、株式市場について年配の投資家よりはるかに詳しいと主張する。また、将来の成長に対する期待も高い。</w:t>
      </w:r>
    </w:p>
    <w:p w14:paraId="467A840E" w14:textId="77777777"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投資家は、</w:t>
      </w:r>
      <w:r>
        <w:rPr>
          <w:rFonts w:hAnsi="Wingdings" w:hint="eastAsia"/>
          <w:sz w:val="21"/>
          <w:szCs w:val="21"/>
        </w:rPr>
        <w:t>年代に限らず</w:t>
      </w:r>
      <w:r w:rsidRPr="002921BC">
        <w:rPr>
          <w:rFonts w:hAnsi="Wingdings" w:hint="eastAsia"/>
          <w:sz w:val="21"/>
          <w:szCs w:val="21"/>
        </w:rPr>
        <w:t>自分と同じ考えを持つ運用会社に投資する。</w:t>
      </w:r>
    </w:p>
    <w:p w14:paraId="6528EF04" w14:textId="77777777" w:rsidR="004A59DA" w:rsidRPr="002921BC" w:rsidRDefault="004A59DA" w:rsidP="004A59DA">
      <w:pPr>
        <w:pStyle w:val="Default"/>
        <w:numPr>
          <w:ilvl w:val="0"/>
          <w:numId w:val="14"/>
        </w:numPr>
        <w:rPr>
          <w:rFonts w:hAnsi="Wingdings" w:hint="eastAsia"/>
          <w:sz w:val="21"/>
          <w:szCs w:val="21"/>
        </w:rPr>
      </w:pPr>
      <w:r w:rsidRPr="002921BC">
        <w:rPr>
          <w:rFonts w:hAnsi="Wingdings" w:hint="eastAsia"/>
          <w:sz w:val="21"/>
          <w:szCs w:val="21"/>
        </w:rPr>
        <w:t>ESGに対する考え方に関係なく、投資家は株式の議決権行使に際し、ファンドマネジャーが</w:t>
      </w:r>
      <w:r>
        <w:rPr>
          <w:rFonts w:hAnsi="Wingdings" w:hint="eastAsia"/>
          <w:sz w:val="21"/>
          <w:szCs w:val="21"/>
        </w:rPr>
        <w:t>自身のプロとしての</w:t>
      </w:r>
      <w:r w:rsidRPr="002921BC">
        <w:rPr>
          <w:rFonts w:hAnsi="Wingdings" w:hint="eastAsia"/>
          <w:sz w:val="21"/>
          <w:szCs w:val="21"/>
        </w:rPr>
        <w:t>見解を考慮することを望んでいる。</w:t>
      </w:r>
    </w:p>
    <w:p w14:paraId="669B6254" w14:textId="77777777" w:rsidR="004A59DA" w:rsidRDefault="004A59DA" w:rsidP="004A59DA">
      <w:pPr>
        <w:pStyle w:val="Default"/>
        <w:rPr>
          <w:rFonts w:hAnsi="Wingdings" w:hint="eastAsia"/>
          <w:sz w:val="21"/>
          <w:szCs w:val="21"/>
        </w:rPr>
      </w:pPr>
    </w:p>
    <w:p w14:paraId="55E034C2" w14:textId="77777777" w:rsidR="004A59DA" w:rsidRDefault="004A59DA" w:rsidP="004A59DA">
      <w:pPr>
        <w:pStyle w:val="Default"/>
        <w:ind w:firstLineChars="100" w:firstLine="210"/>
        <w:rPr>
          <w:rFonts w:hAnsi="Wingdings" w:hint="eastAsia"/>
          <w:sz w:val="21"/>
          <w:szCs w:val="21"/>
        </w:rPr>
      </w:pPr>
      <w:r w:rsidRPr="002921BC">
        <w:rPr>
          <w:rFonts w:hAnsi="Wingdings" w:hint="eastAsia"/>
          <w:sz w:val="21"/>
          <w:szCs w:val="21"/>
        </w:rPr>
        <w:t>41歳以下の投資家は、環境問題や多様性・社会問題に関心が高い。</w:t>
      </w:r>
    </w:p>
    <w:p w14:paraId="1FBDCAF3" w14:textId="77777777" w:rsidR="004A59DA" w:rsidRDefault="004A59DA" w:rsidP="0000219C">
      <w:pPr>
        <w:pStyle w:val="Default"/>
        <w:ind w:firstLineChars="100" w:firstLine="210"/>
        <w:rPr>
          <w:rFonts w:hAnsi="Wingdings" w:hint="eastAsia"/>
          <w:sz w:val="21"/>
          <w:szCs w:val="21"/>
        </w:rPr>
      </w:pPr>
      <w:r w:rsidRPr="002921BC">
        <w:rPr>
          <w:rFonts w:hAnsi="Wingdings" w:hint="eastAsia"/>
          <w:sz w:val="21"/>
          <w:szCs w:val="21"/>
        </w:rPr>
        <w:t>70％が環境問題を非常に懸念している。 また、その問題</w:t>
      </w:r>
      <w:r>
        <w:rPr>
          <w:rFonts w:hAnsi="Wingdings" w:hint="eastAsia"/>
          <w:sz w:val="21"/>
          <w:szCs w:val="21"/>
        </w:rPr>
        <w:t>解決</w:t>
      </w:r>
      <w:r w:rsidRPr="002921BC">
        <w:rPr>
          <w:rFonts w:hAnsi="Wingdings" w:hint="eastAsia"/>
          <w:sz w:val="21"/>
          <w:szCs w:val="21"/>
        </w:rPr>
        <w:t xml:space="preserve">を支持するために投資額の一部を失うことも厭わない傾向が強い。 </w:t>
      </w:r>
    </w:p>
    <w:p w14:paraId="6E6655CD" w14:textId="709BB00D" w:rsidR="004A59DA" w:rsidRPr="002921BC" w:rsidRDefault="004A59DA" w:rsidP="004A59DA">
      <w:pPr>
        <w:pStyle w:val="Default"/>
        <w:ind w:firstLineChars="100" w:firstLine="210"/>
        <w:rPr>
          <w:rFonts w:hAnsi="Wingdings" w:hint="eastAsia"/>
          <w:sz w:val="21"/>
          <w:szCs w:val="21"/>
        </w:rPr>
      </w:pPr>
      <w:r w:rsidRPr="002921BC">
        <w:rPr>
          <w:rFonts w:hAnsi="Wingdings" w:hint="eastAsia"/>
          <w:sz w:val="21"/>
          <w:szCs w:val="21"/>
        </w:rPr>
        <w:t>若い投資家は、ESG</w:t>
      </w:r>
      <w:r>
        <w:rPr>
          <w:rFonts w:hAnsi="Wingdings" w:hint="eastAsia"/>
          <w:sz w:val="21"/>
          <w:szCs w:val="21"/>
        </w:rPr>
        <w:t>投資で仮に損をこうむってもいずれ</w:t>
      </w:r>
      <w:r w:rsidRPr="002921BC">
        <w:rPr>
          <w:rFonts w:hAnsi="Wingdings" w:hint="eastAsia"/>
          <w:sz w:val="21"/>
          <w:szCs w:val="21"/>
        </w:rPr>
        <w:t>取り戻すことができると考えており、将来についても楽観的である。</w:t>
      </w:r>
    </w:p>
    <w:p w14:paraId="0A4634D1" w14:textId="77777777" w:rsidR="004A59DA" w:rsidRDefault="004A59DA" w:rsidP="004A59DA">
      <w:pPr>
        <w:pStyle w:val="Default"/>
        <w:ind w:firstLineChars="100" w:firstLine="210"/>
        <w:rPr>
          <w:rFonts w:hAnsi="Wingdings" w:hint="eastAsia"/>
          <w:sz w:val="21"/>
          <w:szCs w:val="21"/>
        </w:rPr>
      </w:pPr>
      <w:r w:rsidRPr="002921BC">
        <w:rPr>
          <w:rFonts w:hAnsi="Wingdings" w:hint="eastAsia"/>
          <w:sz w:val="21"/>
          <w:szCs w:val="21"/>
        </w:rPr>
        <w:t>59歳以上の</w:t>
      </w:r>
      <w:r>
        <w:rPr>
          <w:rFonts w:hAnsi="Wingdings" w:hint="eastAsia"/>
          <w:sz w:val="21"/>
          <w:szCs w:val="21"/>
        </w:rPr>
        <w:t>年配</w:t>
      </w:r>
      <w:r w:rsidRPr="002921BC">
        <w:rPr>
          <w:rFonts w:hAnsi="Wingdings" w:hint="eastAsia"/>
          <w:sz w:val="21"/>
          <w:szCs w:val="21"/>
        </w:rPr>
        <w:t xml:space="preserve">投資家は正反対である。 環境問題を非常に懸念しているのはわずか30％で、65％は全く懸念していないか、多少懸念している程度である。 </w:t>
      </w:r>
    </w:p>
    <w:p w14:paraId="37070750" w14:textId="77777777" w:rsidR="004A59DA" w:rsidRDefault="004A59DA" w:rsidP="0000219C">
      <w:pPr>
        <w:pStyle w:val="Default"/>
        <w:rPr>
          <w:rFonts w:hAnsi="Wingdings" w:hint="eastAsia"/>
          <w:sz w:val="21"/>
          <w:szCs w:val="21"/>
        </w:rPr>
      </w:pPr>
      <w:r w:rsidRPr="002921BC">
        <w:rPr>
          <w:rFonts w:hAnsi="Wingdings" w:hint="eastAsia"/>
          <w:sz w:val="21"/>
          <w:szCs w:val="21"/>
        </w:rPr>
        <w:t xml:space="preserve">彼らは、ESGの取り組みによって投資価値が下がることを非常に懸念している。 </w:t>
      </w:r>
    </w:p>
    <w:p w14:paraId="66F68225" w14:textId="4264FB3C" w:rsidR="004A59DA" w:rsidRPr="002921BC" w:rsidRDefault="004A59DA" w:rsidP="004A59DA">
      <w:pPr>
        <w:pStyle w:val="Default"/>
        <w:rPr>
          <w:rFonts w:hAnsi="Wingdings" w:hint="eastAsia"/>
          <w:sz w:val="21"/>
          <w:szCs w:val="21"/>
        </w:rPr>
      </w:pPr>
      <w:r w:rsidRPr="002921BC">
        <w:rPr>
          <w:rFonts w:hAnsi="Wingdings" w:hint="eastAsia"/>
          <w:sz w:val="21"/>
          <w:szCs w:val="21"/>
        </w:rPr>
        <w:t>ベビーブーマー世代は、自分たちのライフスタイルと老後の生活を維持するために投資に依存しているため、その価値が下がることを望んでいない。</w:t>
      </w:r>
    </w:p>
    <w:p w14:paraId="3D55D2DF" w14:textId="77777777" w:rsidR="004A59DA" w:rsidRDefault="004A59DA" w:rsidP="004A59DA">
      <w:pPr>
        <w:pStyle w:val="Default"/>
        <w:ind w:firstLineChars="100" w:firstLine="210"/>
        <w:rPr>
          <w:rFonts w:hAnsi="Wingdings" w:hint="eastAsia"/>
          <w:sz w:val="21"/>
          <w:szCs w:val="21"/>
        </w:rPr>
      </w:pPr>
      <w:r w:rsidRPr="002921BC">
        <w:rPr>
          <w:rFonts w:hAnsi="Wingdings" w:hint="eastAsia"/>
          <w:sz w:val="21"/>
          <w:szCs w:val="21"/>
        </w:rPr>
        <w:t xml:space="preserve">こうした価値観を反映する非常に興味深い統計として、若い投資家の78％が、社会的責任投資に限定した投資信託や上場投資信託を少なくとも1本保有している。 </w:t>
      </w:r>
    </w:p>
    <w:p w14:paraId="19EBBC35" w14:textId="23B04BBA" w:rsidR="004A59DA" w:rsidRPr="002921BC" w:rsidRDefault="004A59DA" w:rsidP="0000219C">
      <w:pPr>
        <w:pStyle w:val="Default"/>
        <w:rPr>
          <w:rFonts w:hAnsi="Wingdings" w:hint="eastAsia"/>
          <w:sz w:val="21"/>
          <w:szCs w:val="21"/>
        </w:rPr>
      </w:pPr>
      <w:r w:rsidRPr="002921BC">
        <w:rPr>
          <w:rFonts w:hAnsi="Wingdings" w:hint="eastAsia"/>
          <w:sz w:val="21"/>
          <w:szCs w:val="21"/>
        </w:rPr>
        <w:t>ベビーブーマー世代でそのようなファンドに投資しているのは19％に過ぎない。</w:t>
      </w:r>
    </w:p>
    <w:p w14:paraId="0A43E119" w14:textId="77777777" w:rsidR="004A59DA" w:rsidRDefault="004A59DA" w:rsidP="004A59DA">
      <w:pPr>
        <w:pStyle w:val="Default"/>
        <w:ind w:firstLineChars="100" w:firstLine="210"/>
        <w:rPr>
          <w:rFonts w:hAnsi="Wingdings" w:hint="eastAsia"/>
          <w:sz w:val="21"/>
          <w:szCs w:val="21"/>
        </w:rPr>
      </w:pPr>
      <w:r w:rsidRPr="002921BC">
        <w:rPr>
          <w:rFonts w:hAnsi="Wingdings" w:hint="eastAsia"/>
          <w:sz w:val="21"/>
          <w:szCs w:val="21"/>
        </w:rPr>
        <w:t>若い投資家は、その</w:t>
      </w:r>
      <w:r>
        <w:rPr>
          <w:rFonts w:hAnsi="Wingdings" w:hint="eastAsia"/>
          <w:sz w:val="21"/>
          <w:szCs w:val="21"/>
        </w:rPr>
        <w:t>保有</w:t>
      </w:r>
      <w:r w:rsidRPr="002921BC">
        <w:rPr>
          <w:rFonts w:hAnsi="Wingdings" w:hint="eastAsia"/>
          <w:sz w:val="21"/>
          <w:szCs w:val="21"/>
        </w:rPr>
        <w:t xml:space="preserve">資産レベルに応じて投資選好が異なる。 </w:t>
      </w:r>
    </w:p>
    <w:p w14:paraId="039FECEA" w14:textId="2087869C" w:rsidR="004A59DA" w:rsidRPr="002921BC" w:rsidRDefault="004A59DA" w:rsidP="004A59DA">
      <w:pPr>
        <w:pStyle w:val="Default"/>
        <w:rPr>
          <w:rFonts w:hAnsi="Wingdings" w:hint="eastAsia"/>
          <w:sz w:val="21"/>
          <w:szCs w:val="21"/>
        </w:rPr>
      </w:pPr>
      <w:r w:rsidRPr="002921BC">
        <w:rPr>
          <w:rFonts w:hAnsi="Wingdings" w:hint="eastAsia"/>
          <w:sz w:val="21"/>
          <w:szCs w:val="21"/>
        </w:rPr>
        <w:lastRenderedPageBreak/>
        <w:t>貯蓄の多い若い投資家はESGイニシアチブに関心が高く、貯蓄の少ない若い投資家は関心が低い。</w:t>
      </w:r>
    </w:p>
    <w:p w14:paraId="29506E34" w14:textId="77777777" w:rsidR="004A59DA" w:rsidRPr="002921BC" w:rsidRDefault="004A59DA" w:rsidP="004A59DA">
      <w:pPr>
        <w:pStyle w:val="Default"/>
        <w:ind w:firstLineChars="100" w:firstLine="210"/>
        <w:rPr>
          <w:rFonts w:hAnsi="Wingdings" w:hint="eastAsia"/>
          <w:sz w:val="21"/>
          <w:szCs w:val="21"/>
        </w:rPr>
      </w:pPr>
      <w:r>
        <w:rPr>
          <w:rFonts w:hAnsi="Wingdings" w:hint="eastAsia"/>
          <w:sz w:val="21"/>
          <w:szCs w:val="21"/>
        </w:rPr>
        <w:t>年配</w:t>
      </w:r>
      <w:r w:rsidRPr="002921BC">
        <w:rPr>
          <w:rFonts w:hAnsi="Wingdings" w:hint="eastAsia"/>
          <w:sz w:val="21"/>
          <w:szCs w:val="21"/>
        </w:rPr>
        <w:t>の投資家は、貯蓄（純 資産）に関係なく、選好が一致している。</w:t>
      </w:r>
    </w:p>
    <w:p w14:paraId="0DA08647" w14:textId="6EAD21E6" w:rsidR="004A59DA" w:rsidRPr="002921BC" w:rsidRDefault="004A59DA" w:rsidP="004A59DA">
      <w:pPr>
        <w:pStyle w:val="Default"/>
        <w:ind w:firstLineChars="100" w:firstLine="210"/>
        <w:rPr>
          <w:rFonts w:hAnsi="Wingdings" w:hint="eastAsia"/>
          <w:sz w:val="21"/>
          <w:szCs w:val="21"/>
        </w:rPr>
      </w:pPr>
      <w:r w:rsidRPr="002921BC">
        <w:rPr>
          <w:rFonts w:hAnsi="Wingdings" w:hint="eastAsia"/>
          <w:sz w:val="21"/>
          <w:szCs w:val="21"/>
        </w:rPr>
        <w:t>ガバナンスに関しては、若い投資家（Z世代／ミレニアル世代の85％）は、たとえ投資価値が下がるとしても、企業が社会的責任あるESGイニシアチブに取り組むことを望んでいるのに対し、年配の投資家は、企業が他のすべてよりも財務的リターンを得ることに</w:t>
      </w:r>
      <w:r w:rsidR="007704E5">
        <w:rPr>
          <w:rFonts w:hAnsi="Wingdings" w:hint="eastAsia"/>
          <w:sz w:val="21"/>
          <w:szCs w:val="21"/>
        </w:rPr>
        <w:t xml:space="preserve">　</w:t>
      </w:r>
      <w:r w:rsidRPr="002921BC">
        <w:rPr>
          <w:rFonts w:hAnsi="Wingdings" w:hint="eastAsia"/>
          <w:sz w:val="21"/>
          <w:szCs w:val="21"/>
        </w:rPr>
        <w:t xml:space="preserve">集中することを望んでいるようだ。 </w:t>
      </w:r>
    </w:p>
    <w:p w14:paraId="688B6767" w14:textId="77777777" w:rsidR="007704E5" w:rsidRDefault="004A59DA" w:rsidP="007704E5">
      <w:pPr>
        <w:pStyle w:val="Default"/>
        <w:ind w:firstLineChars="100" w:firstLine="210"/>
        <w:rPr>
          <w:rFonts w:hAnsi="Wingdings" w:hint="eastAsia"/>
          <w:sz w:val="21"/>
          <w:szCs w:val="21"/>
        </w:rPr>
      </w:pPr>
      <w:r w:rsidRPr="002921BC">
        <w:rPr>
          <w:rFonts w:hAnsi="Wingdings" w:hint="eastAsia"/>
          <w:sz w:val="21"/>
          <w:szCs w:val="21"/>
        </w:rPr>
        <w:t>若い投資家の80％が、社会的平等と多様性を支援するためなら投資価値が減少しても</w:t>
      </w:r>
      <w:r w:rsidR="007704E5">
        <w:rPr>
          <w:rFonts w:hAnsi="Wingdings" w:hint="eastAsia"/>
          <w:sz w:val="21"/>
          <w:szCs w:val="21"/>
        </w:rPr>
        <w:t xml:space="preserve">　</w:t>
      </w:r>
      <w:r w:rsidRPr="002921BC">
        <w:rPr>
          <w:rFonts w:hAnsi="Wingdings" w:hint="eastAsia"/>
          <w:sz w:val="21"/>
          <w:szCs w:val="21"/>
        </w:rPr>
        <w:t xml:space="preserve">構わないと考えている。 </w:t>
      </w:r>
    </w:p>
    <w:p w14:paraId="624C0CE9" w14:textId="58985F43" w:rsidR="004A59DA" w:rsidRPr="002921BC" w:rsidRDefault="004A59DA" w:rsidP="007704E5">
      <w:pPr>
        <w:pStyle w:val="Default"/>
        <w:rPr>
          <w:rFonts w:hAnsi="Wingdings" w:hint="eastAsia"/>
          <w:sz w:val="21"/>
          <w:szCs w:val="21"/>
        </w:rPr>
      </w:pPr>
      <w:r>
        <w:rPr>
          <w:rFonts w:hAnsi="Wingdings" w:hint="eastAsia"/>
          <w:sz w:val="21"/>
          <w:szCs w:val="21"/>
        </w:rPr>
        <w:t>年配</w:t>
      </w:r>
      <w:r w:rsidRPr="002921BC">
        <w:rPr>
          <w:rFonts w:hAnsi="Wingdings" w:hint="eastAsia"/>
          <w:sz w:val="21"/>
          <w:szCs w:val="21"/>
        </w:rPr>
        <w:t>の投資家では、投資額の減少を望んでいるのはわずか21％で、71％は望んでいない。</w:t>
      </w:r>
    </w:p>
    <w:p w14:paraId="269B73DC" w14:textId="77777777" w:rsidR="007704E5" w:rsidRDefault="004A59DA" w:rsidP="007704E5">
      <w:pPr>
        <w:pStyle w:val="Default"/>
        <w:ind w:firstLineChars="100" w:firstLine="210"/>
        <w:rPr>
          <w:rFonts w:hAnsi="Wingdings" w:hint="eastAsia"/>
          <w:sz w:val="21"/>
          <w:szCs w:val="21"/>
        </w:rPr>
      </w:pPr>
      <w:r w:rsidRPr="002921BC">
        <w:rPr>
          <w:rFonts w:hAnsi="Wingdings" w:hint="eastAsia"/>
          <w:sz w:val="21"/>
          <w:szCs w:val="21"/>
        </w:rPr>
        <w:t>最大手の</w:t>
      </w:r>
      <w:r w:rsidR="007704E5">
        <w:rPr>
          <w:rFonts w:hAnsi="Wingdings" w:hint="eastAsia"/>
          <w:sz w:val="21"/>
          <w:szCs w:val="21"/>
        </w:rPr>
        <w:t>資産運用会社</w:t>
      </w:r>
      <w:r w:rsidRPr="002921BC">
        <w:rPr>
          <w:rFonts w:hAnsi="Wingdings" w:hint="eastAsia"/>
          <w:sz w:val="21"/>
          <w:szCs w:val="21"/>
        </w:rPr>
        <w:t>には、ESGイニシアチブを圧倒的に支持する投資家がい</w:t>
      </w:r>
      <w:r w:rsidR="007704E5">
        <w:rPr>
          <w:rFonts w:hAnsi="Wingdings" w:hint="eastAsia"/>
          <w:sz w:val="21"/>
          <w:szCs w:val="21"/>
        </w:rPr>
        <w:t>る</w:t>
      </w:r>
      <w:r w:rsidRPr="002921BC">
        <w:rPr>
          <w:rFonts w:hAnsi="Wingdings" w:hint="eastAsia"/>
          <w:sz w:val="21"/>
          <w:szCs w:val="21"/>
        </w:rPr>
        <w:t xml:space="preserve">。 </w:t>
      </w:r>
    </w:p>
    <w:p w14:paraId="1A982C8D" w14:textId="520BB7EA" w:rsidR="004A59DA" w:rsidRDefault="004A59DA" w:rsidP="007704E5">
      <w:pPr>
        <w:pStyle w:val="Default"/>
        <w:rPr>
          <w:rFonts w:hAnsi="Wingdings" w:hint="eastAsia"/>
          <w:sz w:val="21"/>
          <w:szCs w:val="21"/>
        </w:rPr>
      </w:pPr>
      <w:r w:rsidRPr="002921BC">
        <w:rPr>
          <w:rFonts w:hAnsi="Wingdings" w:hint="eastAsia"/>
          <w:sz w:val="21"/>
          <w:szCs w:val="21"/>
        </w:rPr>
        <w:t xml:space="preserve">環境の持続可能性を声高に主張するブラックロックは、環境問題への関心が高い投資家層を有しており、76％がそう回答している。 </w:t>
      </w:r>
    </w:p>
    <w:p w14:paraId="5AF1D1E5" w14:textId="34B88F52" w:rsidR="004A59DA" w:rsidRPr="002921BC" w:rsidRDefault="004A59DA" w:rsidP="007704E5">
      <w:pPr>
        <w:pStyle w:val="Default"/>
        <w:ind w:firstLineChars="100" w:firstLine="210"/>
        <w:rPr>
          <w:rFonts w:hAnsi="Wingdings" w:hint="eastAsia"/>
          <w:sz w:val="21"/>
          <w:szCs w:val="21"/>
        </w:rPr>
      </w:pPr>
      <w:r w:rsidRPr="002921BC">
        <w:rPr>
          <w:rFonts w:hAnsi="Wingdings" w:hint="eastAsia"/>
          <w:sz w:val="21"/>
          <w:szCs w:val="21"/>
        </w:rPr>
        <w:t>同様に、役員室の多様性を支持してきたステート・ストリートの投資家層は76％で、</w:t>
      </w:r>
      <w:r w:rsidR="007704E5">
        <w:rPr>
          <w:rFonts w:hAnsi="Wingdings" w:hint="eastAsia"/>
          <w:sz w:val="21"/>
          <w:szCs w:val="21"/>
        </w:rPr>
        <w:t xml:space="preserve">　</w:t>
      </w:r>
      <w:r w:rsidRPr="002921BC">
        <w:rPr>
          <w:rFonts w:hAnsi="Wingdings" w:hint="eastAsia"/>
          <w:sz w:val="21"/>
          <w:szCs w:val="21"/>
        </w:rPr>
        <w:t>社会問題に非常に関心が高い。</w:t>
      </w:r>
    </w:p>
    <w:p w14:paraId="0A0E32A2" w14:textId="77777777" w:rsidR="004A59DA" w:rsidRDefault="004A59DA" w:rsidP="007704E5">
      <w:pPr>
        <w:pStyle w:val="Default"/>
        <w:ind w:firstLineChars="100" w:firstLine="210"/>
        <w:rPr>
          <w:rFonts w:hAnsi="Wingdings" w:hint="eastAsia"/>
          <w:sz w:val="21"/>
          <w:szCs w:val="21"/>
        </w:rPr>
      </w:pPr>
      <w:r w:rsidRPr="002921BC">
        <w:rPr>
          <w:rFonts w:hAnsi="Wingdings" w:hint="eastAsia"/>
          <w:sz w:val="21"/>
          <w:szCs w:val="21"/>
        </w:rPr>
        <w:t>ガバナンスに関しても、大規模ファンドの投資家は、ESGイニシアチブの推進が不十分な企業の取締役に反対票を投じるというファンドマネジャーの決定を支持している。</w:t>
      </w:r>
    </w:p>
    <w:p w14:paraId="5DB92EAA" w14:textId="77777777" w:rsidR="004A59DA" w:rsidRDefault="004A59DA" w:rsidP="007704E5">
      <w:pPr>
        <w:pStyle w:val="Default"/>
        <w:rPr>
          <w:rFonts w:hAnsi="Wingdings" w:hint="eastAsia"/>
          <w:sz w:val="21"/>
          <w:szCs w:val="21"/>
        </w:rPr>
      </w:pPr>
      <w:r w:rsidRPr="002921BC">
        <w:rPr>
          <w:rFonts w:hAnsi="Wingdings" w:hint="eastAsia"/>
          <w:sz w:val="21"/>
          <w:szCs w:val="21"/>
        </w:rPr>
        <w:t xml:space="preserve">ブラックロックの投資家の86％がそう回答している。 </w:t>
      </w:r>
    </w:p>
    <w:p w14:paraId="24402A58" w14:textId="77777777" w:rsidR="004A59DA" w:rsidRPr="002921BC" w:rsidRDefault="004A59DA" w:rsidP="007704E5">
      <w:pPr>
        <w:pStyle w:val="Default"/>
        <w:ind w:firstLineChars="100" w:firstLine="210"/>
        <w:rPr>
          <w:rFonts w:hAnsi="Wingdings" w:hint="eastAsia"/>
          <w:sz w:val="21"/>
          <w:szCs w:val="21"/>
        </w:rPr>
      </w:pPr>
      <w:r w:rsidRPr="002921BC">
        <w:rPr>
          <w:rFonts w:hAnsi="Wingdings" w:hint="eastAsia"/>
          <w:sz w:val="21"/>
          <w:szCs w:val="21"/>
        </w:rPr>
        <w:t>興味深いことに、大手機関投資家のファンドに投資していない投資家のうち、この決定に賛成しているのは39％に過ぎない。</w:t>
      </w:r>
    </w:p>
    <w:p w14:paraId="4CA52BBD" w14:textId="77777777" w:rsidR="004A59DA" w:rsidRDefault="004A59DA" w:rsidP="007704E5">
      <w:pPr>
        <w:pStyle w:val="Default"/>
        <w:ind w:firstLineChars="100" w:firstLine="210"/>
        <w:rPr>
          <w:rFonts w:hAnsi="Wingdings" w:hint="eastAsia"/>
          <w:sz w:val="21"/>
          <w:szCs w:val="21"/>
        </w:rPr>
      </w:pPr>
      <w:r w:rsidRPr="002921BC">
        <w:rPr>
          <w:rFonts w:hAnsi="Wingdings" w:hint="eastAsia"/>
          <w:sz w:val="21"/>
          <w:szCs w:val="21"/>
        </w:rPr>
        <w:t xml:space="preserve">投資家がESGの取り組みを重視するファンドに魅力を感じている可能性もある。 </w:t>
      </w:r>
    </w:p>
    <w:p w14:paraId="778BCD38" w14:textId="77777777" w:rsidR="004A59DA" w:rsidRDefault="004A59DA" w:rsidP="004A59DA">
      <w:pPr>
        <w:pStyle w:val="Default"/>
        <w:rPr>
          <w:rFonts w:hAnsi="Wingdings" w:hint="eastAsia"/>
          <w:sz w:val="21"/>
          <w:szCs w:val="21"/>
        </w:rPr>
      </w:pPr>
      <w:r>
        <w:rPr>
          <w:rFonts w:hAnsi="Wingdings" w:hint="eastAsia"/>
          <w:sz w:val="21"/>
          <w:szCs w:val="21"/>
        </w:rPr>
        <w:t>そして</w:t>
      </w:r>
      <w:r w:rsidRPr="002921BC">
        <w:rPr>
          <w:rFonts w:hAnsi="Wingdings" w:hint="eastAsia"/>
          <w:sz w:val="21"/>
          <w:szCs w:val="21"/>
        </w:rPr>
        <w:t>これらのファンド</w:t>
      </w:r>
      <w:r>
        <w:rPr>
          <w:rFonts w:hAnsi="Wingdings" w:hint="eastAsia"/>
          <w:sz w:val="21"/>
          <w:szCs w:val="21"/>
        </w:rPr>
        <w:t>の中には</w:t>
      </w:r>
      <w:r w:rsidRPr="002921BC">
        <w:rPr>
          <w:rFonts w:hAnsi="Wingdings" w:hint="eastAsia"/>
          <w:sz w:val="21"/>
          <w:szCs w:val="21"/>
        </w:rPr>
        <w:t>投資家の利益のために</w:t>
      </w:r>
      <w:r>
        <w:rPr>
          <w:rFonts w:hAnsi="Wingdings" w:hint="eastAsia"/>
          <w:sz w:val="21"/>
          <w:szCs w:val="21"/>
        </w:rPr>
        <w:t>企業の</w:t>
      </w:r>
      <w:r w:rsidRPr="002921BC">
        <w:rPr>
          <w:rFonts w:hAnsi="Wingdings" w:hint="eastAsia"/>
          <w:sz w:val="21"/>
          <w:szCs w:val="21"/>
        </w:rPr>
        <w:t>ESG</w:t>
      </w:r>
      <w:r>
        <w:rPr>
          <w:rFonts w:hAnsi="Wingdings" w:hint="eastAsia"/>
          <w:sz w:val="21"/>
          <w:szCs w:val="21"/>
        </w:rPr>
        <w:t>の方針</w:t>
      </w:r>
      <w:r w:rsidRPr="002921BC">
        <w:rPr>
          <w:rFonts w:hAnsi="Wingdings" w:hint="eastAsia"/>
          <w:sz w:val="21"/>
          <w:szCs w:val="21"/>
        </w:rPr>
        <w:t>を</w:t>
      </w:r>
      <w:r>
        <w:rPr>
          <w:rFonts w:hAnsi="Wingdings" w:hint="eastAsia"/>
          <w:sz w:val="21"/>
          <w:szCs w:val="21"/>
        </w:rPr>
        <w:t>積極的に調べ</w:t>
      </w:r>
      <w:r w:rsidRPr="002921BC">
        <w:rPr>
          <w:rFonts w:hAnsi="Wingdings" w:hint="eastAsia"/>
          <w:sz w:val="21"/>
          <w:szCs w:val="21"/>
        </w:rPr>
        <w:t>ている</w:t>
      </w:r>
      <w:r>
        <w:rPr>
          <w:rFonts w:hAnsi="Wingdings" w:hint="eastAsia"/>
          <w:sz w:val="21"/>
          <w:szCs w:val="21"/>
        </w:rPr>
        <w:t>ところもある。</w:t>
      </w:r>
    </w:p>
    <w:p w14:paraId="494CDC32" w14:textId="77777777" w:rsidR="004A59DA" w:rsidRPr="00391E07" w:rsidRDefault="004A59DA" w:rsidP="004A59DA">
      <w:pPr>
        <w:pStyle w:val="Default"/>
        <w:rPr>
          <w:rFonts w:hAnsi="Wingdings" w:hint="eastAsia"/>
          <w:sz w:val="21"/>
          <w:szCs w:val="21"/>
        </w:rPr>
      </w:pPr>
    </w:p>
    <w:p w14:paraId="694249A2" w14:textId="7B10E6E7" w:rsidR="004A59DA" w:rsidRPr="000F6A88" w:rsidRDefault="004A59DA" w:rsidP="007704E5">
      <w:pPr>
        <w:pStyle w:val="Default"/>
        <w:numPr>
          <w:ilvl w:val="0"/>
          <w:numId w:val="20"/>
        </w:numPr>
        <w:rPr>
          <w:rFonts w:hAnsi="Wingdings" w:hint="eastAsia"/>
          <w:b/>
          <w:bCs/>
          <w:sz w:val="21"/>
          <w:szCs w:val="21"/>
        </w:rPr>
      </w:pPr>
      <w:r w:rsidRPr="000F6A88">
        <w:rPr>
          <w:rFonts w:hAnsi="Wingdings" w:hint="eastAsia"/>
          <w:b/>
          <w:bCs/>
          <w:sz w:val="21"/>
          <w:szCs w:val="21"/>
        </w:rPr>
        <w:t>米国人口動態と企業の将来</w:t>
      </w:r>
    </w:p>
    <w:p w14:paraId="2F0FB594" w14:textId="77777777" w:rsidR="004A59DA" w:rsidRDefault="004A59DA" w:rsidP="004A59DA">
      <w:pPr>
        <w:pStyle w:val="Default"/>
        <w:rPr>
          <w:rFonts w:hAnsi="Wingdings" w:hint="eastAsia"/>
          <w:sz w:val="21"/>
          <w:szCs w:val="21"/>
        </w:rPr>
      </w:pPr>
    </w:p>
    <w:p w14:paraId="08B5AD8F"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t>別紙１の国勢調査局のデータは</w:t>
      </w:r>
      <w:bookmarkStart w:id="2" w:name="_Hlk144459369"/>
      <w:r>
        <w:rPr>
          <w:rFonts w:hAnsi="Wingdings" w:hint="eastAsia"/>
          <w:sz w:val="21"/>
          <w:szCs w:val="21"/>
        </w:rPr>
        <w:t>2010年と2020年の国勢調査結果を比較</w:t>
      </w:r>
      <w:bookmarkEnd w:id="2"/>
      <w:r>
        <w:rPr>
          <w:rFonts w:hAnsi="Wingdings" w:hint="eastAsia"/>
          <w:sz w:val="21"/>
          <w:szCs w:val="21"/>
        </w:rPr>
        <w:t>、総人口は7.4％増と従来の年間1％増のペースからダウン。女性の比率が若干高まり50.9％。</w:t>
      </w:r>
    </w:p>
    <w:p w14:paraId="3CD002AB"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t>65歳以上のシニアは38.6％も増え、全人口比で16.8％に増大、X世代が中心の45歳から64歳は3.4％しか増えず、全人口比は26.4％から25.4％に低下、Y世代が中心の25歳から44歳も5.9％しか増えず、全人口比は26.6％から26.3％に低下、Z世代中心の18歳から24歳はわずか1.9％増で、全人口比は9.9％から9.4％に低下している。</w:t>
      </w:r>
    </w:p>
    <w:p w14:paraId="13032B0C" w14:textId="77777777" w:rsidR="004A59DA" w:rsidRDefault="004A59DA" w:rsidP="007704E5">
      <w:pPr>
        <w:pStyle w:val="Default"/>
        <w:ind w:firstLineChars="100" w:firstLine="210"/>
        <w:rPr>
          <w:rFonts w:hAnsi="Wingdings" w:hint="eastAsia"/>
          <w:sz w:val="21"/>
          <w:szCs w:val="21"/>
        </w:rPr>
      </w:pPr>
      <w:bookmarkStart w:id="3" w:name="_Hlk144459449"/>
      <w:r>
        <w:rPr>
          <w:rFonts w:hAnsi="Wingdings" w:hint="eastAsia"/>
          <w:sz w:val="21"/>
          <w:szCs w:val="21"/>
        </w:rPr>
        <w:t>別紙２は国勢調査局の2020年時点の州別多様性調査結果</w:t>
      </w:r>
      <w:bookmarkEnd w:id="3"/>
      <w:r>
        <w:rPr>
          <w:rFonts w:hAnsi="Wingdings" w:hint="eastAsia"/>
          <w:sz w:val="21"/>
          <w:szCs w:val="21"/>
        </w:rPr>
        <w:t>で多様性の高い順にトップ10の州を見ると、6位のテキサス州と10位のフロリダ州以外は前回大統領選では民主党に投票した州となっている。</w:t>
      </w:r>
    </w:p>
    <w:p w14:paraId="7B97256D"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t>次に将来の人種別のアメリカの人口動態をブルッキングス研究所の資料で見てみると、</w:t>
      </w:r>
    </w:p>
    <w:p w14:paraId="7083BE08"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lastRenderedPageBreak/>
        <w:t>別紙３では2045年に白人がマイノリティとなるとみられ、その根拠の１つとして白人の人口増加率が来年あたりからマイナスに転じることがあげられる（別紙４）。</w:t>
      </w:r>
    </w:p>
    <w:p w14:paraId="091E276E"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t>別紙５で年代別に見ていくと18歳未満の非有権者ではすでに2020年に白人はマイノリティとなっており、Z世代の18歳から29歳で2027年に白人がマイノリティとなる見込み。</w:t>
      </w:r>
    </w:p>
    <w:p w14:paraId="64DB5770" w14:textId="77777777" w:rsidR="004A59DA" w:rsidRDefault="004A59DA" w:rsidP="007704E5">
      <w:pPr>
        <w:pStyle w:val="Default"/>
        <w:ind w:firstLineChars="100" w:firstLine="210"/>
        <w:rPr>
          <w:rFonts w:hAnsi="Wingdings" w:hint="eastAsia"/>
          <w:sz w:val="21"/>
          <w:szCs w:val="21"/>
        </w:rPr>
      </w:pPr>
      <w:r>
        <w:rPr>
          <w:rFonts w:hAnsi="Wingdings" w:hint="eastAsia"/>
          <w:sz w:val="21"/>
          <w:szCs w:val="21"/>
        </w:rPr>
        <w:t>一方、60歳以上で白人がマイノリティとなるのは2060年以降とみられる。別紙６を見ると2060年では65歳以上の人口に占める白人の割合はまだ55.1％もある（ただし、その時点の65歳以上はほとんどがY世代とZ世代）。</w:t>
      </w:r>
    </w:p>
    <w:p w14:paraId="4DB65188" w14:textId="77777777" w:rsidR="004A59DA" w:rsidRDefault="004A59DA" w:rsidP="004A59DA">
      <w:pPr>
        <w:pStyle w:val="Default"/>
        <w:rPr>
          <w:rFonts w:hAnsi="Wingdings" w:hint="eastAsia"/>
          <w:sz w:val="21"/>
          <w:szCs w:val="21"/>
        </w:rPr>
      </w:pPr>
    </w:p>
    <w:p w14:paraId="559B6594" w14:textId="77777777" w:rsidR="004A59DA" w:rsidRPr="004A59DA" w:rsidRDefault="004A59DA" w:rsidP="00846D10">
      <w:pPr>
        <w:pStyle w:val="Default"/>
        <w:rPr>
          <w:rFonts w:hAnsi="Wingdings" w:hint="eastAsia"/>
          <w:b/>
          <w:bCs/>
          <w:sz w:val="21"/>
          <w:szCs w:val="21"/>
        </w:rPr>
      </w:pPr>
    </w:p>
    <w:p w14:paraId="74920E74" w14:textId="2542562E" w:rsidR="004A59DA" w:rsidRPr="004A59DA" w:rsidRDefault="007704E5" w:rsidP="00846D10">
      <w:pPr>
        <w:pStyle w:val="Default"/>
        <w:rPr>
          <w:rFonts w:hAnsi="Wingdings" w:hint="eastAsia"/>
          <w:b/>
          <w:bCs/>
          <w:sz w:val="21"/>
          <w:szCs w:val="21"/>
        </w:rPr>
      </w:pPr>
      <w:r>
        <w:rPr>
          <w:rFonts w:hAnsi="Wingdings" w:hint="eastAsia"/>
          <w:b/>
          <w:bCs/>
          <w:sz w:val="21"/>
          <w:szCs w:val="21"/>
        </w:rPr>
        <w:t>５．米企業の動向</w:t>
      </w:r>
    </w:p>
    <w:p w14:paraId="30DBAB30" w14:textId="77777777" w:rsidR="007704E5" w:rsidRDefault="007704E5" w:rsidP="00846D10">
      <w:pPr>
        <w:pStyle w:val="Default"/>
        <w:rPr>
          <w:rFonts w:hAnsi="Wingdings" w:hint="eastAsia"/>
          <w:b/>
          <w:bCs/>
          <w:sz w:val="21"/>
          <w:szCs w:val="21"/>
        </w:rPr>
      </w:pPr>
    </w:p>
    <w:p w14:paraId="2CD90040" w14:textId="72DCE19D" w:rsidR="00846D10" w:rsidRPr="003D01D3" w:rsidRDefault="00846D10" w:rsidP="007704E5">
      <w:pPr>
        <w:pStyle w:val="Default"/>
        <w:numPr>
          <w:ilvl w:val="0"/>
          <w:numId w:val="21"/>
        </w:numPr>
        <w:rPr>
          <w:rFonts w:hAnsi="Wingdings" w:hint="eastAsia"/>
          <w:b/>
          <w:bCs/>
          <w:sz w:val="21"/>
          <w:szCs w:val="21"/>
        </w:rPr>
      </w:pPr>
      <w:r w:rsidRPr="003D01D3">
        <w:rPr>
          <w:rFonts w:hAnsi="Wingdings" w:hint="eastAsia"/>
          <w:b/>
          <w:bCs/>
          <w:sz w:val="21"/>
          <w:szCs w:val="21"/>
        </w:rPr>
        <w:t>ESG投資の現状</w:t>
      </w:r>
      <w:r w:rsidRPr="003D01D3">
        <w:rPr>
          <w:rFonts w:hAnsi="Wingdings"/>
          <w:b/>
          <w:bCs/>
          <w:sz w:val="21"/>
          <w:szCs w:val="21"/>
        </w:rPr>
        <w:tab/>
      </w:r>
      <w:r w:rsidRPr="003D01D3">
        <w:rPr>
          <w:rFonts w:hAnsi="Wingdings"/>
          <w:b/>
          <w:bCs/>
          <w:sz w:val="21"/>
          <w:szCs w:val="21"/>
        </w:rPr>
        <w:tab/>
      </w:r>
      <w:r>
        <w:rPr>
          <w:rFonts w:hAnsi="Wingdings"/>
          <w:b/>
          <w:bCs/>
          <w:sz w:val="21"/>
          <w:szCs w:val="21"/>
        </w:rPr>
        <w:tab/>
      </w:r>
      <w:r w:rsidRPr="003D01D3">
        <w:rPr>
          <w:rFonts w:hAnsi="Wingdings" w:hint="eastAsia"/>
          <w:b/>
          <w:bCs/>
          <w:sz w:val="21"/>
          <w:szCs w:val="21"/>
        </w:rPr>
        <w:t>ソース：フォックスニュース</w:t>
      </w:r>
    </w:p>
    <w:p w14:paraId="1BEB591D" w14:textId="77777777" w:rsidR="00846D10" w:rsidRDefault="00846D10" w:rsidP="00846D10">
      <w:pPr>
        <w:pStyle w:val="Default"/>
        <w:rPr>
          <w:rFonts w:hAnsi="Wingdings" w:hint="eastAsia"/>
          <w:sz w:val="21"/>
          <w:szCs w:val="21"/>
        </w:rPr>
      </w:pPr>
    </w:p>
    <w:p w14:paraId="6ABB71C1" w14:textId="77777777" w:rsidR="007704E5" w:rsidRDefault="00846D10" w:rsidP="007704E5">
      <w:pPr>
        <w:pStyle w:val="Default"/>
        <w:ind w:firstLineChars="100" w:firstLine="210"/>
        <w:rPr>
          <w:rFonts w:hAnsi="Wingdings" w:hint="eastAsia"/>
          <w:sz w:val="21"/>
          <w:szCs w:val="21"/>
        </w:rPr>
      </w:pPr>
      <w:r>
        <w:rPr>
          <w:rFonts w:hAnsi="Wingdings" w:hint="eastAsia"/>
          <w:sz w:val="21"/>
          <w:szCs w:val="21"/>
        </w:rPr>
        <w:t>アメリカのファンドの8分の1を占めるESGファンドは2021年初頭をピークに減少し、2022年通年では30億ドル資産を減らした。</w:t>
      </w:r>
    </w:p>
    <w:p w14:paraId="2FDAB6C6" w14:textId="77777777" w:rsidR="007704E5" w:rsidRDefault="00846D10" w:rsidP="007704E5">
      <w:pPr>
        <w:pStyle w:val="Default"/>
        <w:ind w:firstLineChars="100" w:firstLine="210"/>
        <w:rPr>
          <w:rFonts w:hAnsi="Wingdings" w:hint="eastAsia"/>
          <w:sz w:val="21"/>
          <w:szCs w:val="21"/>
        </w:rPr>
      </w:pPr>
      <w:r>
        <w:rPr>
          <w:rFonts w:hAnsi="Wingdings" w:hint="eastAsia"/>
          <w:sz w:val="21"/>
          <w:szCs w:val="21"/>
        </w:rPr>
        <w:t>同年の第4四半期では62億ドルも資金が引き出されている。とはいえESGへの需要はほかのファンドに比べてまだ高い。</w:t>
      </w:r>
    </w:p>
    <w:p w14:paraId="2EC67A6A" w14:textId="74A2912F" w:rsidR="00846D10" w:rsidRDefault="00846D10" w:rsidP="007704E5">
      <w:pPr>
        <w:pStyle w:val="Default"/>
        <w:ind w:firstLineChars="100" w:firstLine="210"/>
        <w:rPr>
          <w:rFonts w:hAnsi="Wingdings" w:hint="eastAsia"/>
          <w:sz w:val="21"/>
          <w:szCs w:val="21"/>
        </w:rPr>
      </w:pPr>
      <w:r>
        <w:rPr>
          <w:rFonts w:hAnsi="Wingdings" w:hint="eastAsia"/>
          <w:sz w:val="21"/>
          <w:szCs w:val="21"/>
        </w:rPr>
        <w:t>主な投資元は年金基金、保険会社、大学や基金の寄付金運用ならびにその他の大手の</w:t>
      </w:r>
      <w:r w:rsidR="007704E5">
        <w:rPr>
          <w:rFonts w:hAnsi="Wingdings" w:hint="eastAsia"/>
          <w:sz w:val="21"/>
          <w:szCs w:val="21"/>
        </w:rPr>
        <w:t xml:space="preserve">　</w:t>
      </w:r>
      <w:r>
        <w:rPr>
          <w:rFonts w:hAnsi="Wingdings" w:hint="eastAsia"/>
          <w:sz w:val="21"/>
          <w:szCs w:val="21"/>
        </w:rPr>
        <w:t>機関投資家である。</w:t>
      </w:r>
    </w:p>
    <w:p w14:paraId="0F52F5EC" w14:textId="77777777" w:rsidR="00846D10" w:rsidRDefault="00846D10" w:rsidP="007704E5">
      <w:pPr>
        <w:pStyle w:val="Default"/>
        <w:ind w:firstLineChars="100" w:firstLine="210"/>
        <w:rPr>
          <w:rFonts w:hAnsi="Wingdings" w:hint="eastAsia"/>
          <w:sz w:val="21"/>
          <w:szCs w:val="21"/>
        </w:rPr>
      </w:pPr>
      <w:r>
        <w:rPr>
          <w:rFonts w:hAnsi="Wingdings" w:hint="eastAsia"/>
          <w:sz w:val="21"/>
          <w:szCs w:val="21"/>
        </w:rPr>
        <w:t>ESG投資家は企業への関与、特にESG問題での年次株主総会での議決権行使を通じた関与を強化している。さらには二酸化炭素の排出量の開示や人権に関するインパクトの測定、そして人種平等に関する監査を求めたりしている。</w:t>
      </w:r>
    </w:p>
    <w:p w14:paraId="7CB12829" w14:textId="77777777" w:rsidR="00846D10" w:rsidRDefault="00846D10" w:rsidP="007704E5">
      <w:pPr>
        <w:pStyle w:val="Default"/>
        <w:ind w:firstLineChars="100" w:firstLine="210"/>
        <w:rPr>
          <w:rFonts w:hAnsi="Wingdings" w:hint="eastAsia"/>
          <w:sz w:val="21"/>
          <w:szCs w:val="21"/>
        </w:rPr>
      </w:pPr>
      <w:r>
        <w:rPr>
          <w:rFonts w:hAnsi="Wingdings" w:hint="eastAsia"/>
          <w:sz w:val="21"/>
          <w:szCs w:val="21"/>
        </w:rPr>
        <w:t>このESGの動きに対し、一部の政治家は投資を政治化するものだとの批判が出ている。</w:t>
      </w:r>
    </w:p>
    <w:p w14:paraId="335EAD66" w14:textId="1BA8AE50" w:rsidR="00846D10" w:rsidRDefault="00846D10" w:rsidP="007704E5">
      <w:pPr>
        <w:pStyle w:val="Default"/>
        <w:ind w:firstLineChars="100" w:firstLine="210"/>
        <w:rPr>
          <w:rFonts w:hAnsi="Wingdings" w:hint="eastAsia"/>
          <w:sz w:val="21"/>
          <w:szCs w:val="21"/>
        </w:rPr>
      </w:pPr>
      <w:r>
        <w:rPr>
          <w:rFonts w:hAnsi="Wingdings" w:hint="eastAsia"/>
          <w:sz w:val="21"/>
          <w:szCs w:val="21"/>
        </w:rPr>
        <w:t>複雑な問題への企業の対応努力を単純なESGスコアで表現する格付け企業を批判する</w:t>
      </w:r>
      <w:r w:rsidR="007704E5">
        <w:rPr>
          <w:rFonts w:hAnsi="Wingdings" w:hint="eastAsia"/>
          <w:sz w:val="21"/>
          <w:szCs w:val="21"/>
        </w:rPr>
        <w:t xml:space="preserve">　</w:t>
      </w:r>
      <w:r>
        <w:rPr>
          <w:rFonts w:hAnsi="Wingdings" w:hint="eastAsia"/>
          <w:sz w:val="21"/>
          <w:szCs w:val="21"/>
        </w:rPr>
        <w:t>企業経営者もいる。</w:t>
      </w:r>
    </w:p>
    <w:p w14:paraId="522EE950" w14:textId="77777777" w:rsidR="00846D10" w:rsidRDefault="00846D10" w:rsidP="007704E5">
      <w:pPr>
        <w:pStyle w:val="Default"/>
        <w:ind w:firstLineChars="100" w:firstLine="210"/>
        <w:rPr>
          <w:rFonts w:hAnsi="Wingdings" w:hint="eastAsia"/>
          <w:sz w:val="21"/>
          <w:szCs w:val="21"/>
        </w:rPr>
      </w:pPr>
      <w:r>
        <w:rPr>
          <w:rFonts w:hAnsi="Wingdings" w:hint="eastAsia"/>
          <w:sz w:val="21"/>
          <w:szCs w:val="21"/>
        </w:rPr>
        <w:t>テスラが昨年S＆P500</w:t>
      </w:r>
      <w:r>
        <w:rPr>
          <w:rFonts w:hAnsi="Wingdings"/>
          <w:sz w:val="21"/>
          <w:szCs w:val="21"/>
        </w:rPr>
        <w:t xml:space="preserve"> ESG</w:t>
      </w:r>
      <w:r>
        <w:rPr>
          <w:rFonts w:hAnsi="Wingdings" w:hint="eastAsia"/>
          <w:sz w:val="21"/>
          <w:szCs w:val="21"/>
        </w:rPr>
        <w:t>インデックスから外された際に、CEOのイーロン・マスクは「ESGはインチキな社会正義主義者に兵器化された詐欺だ」と語っている。</w:t>
      </w:r>
    </w:p>
    <w:p w14:paraId="2154CFCB" w14:textId="3133FED1" w:rsidR="00846D10" w:rsidRPr="00142C5D" w:rsidRDefault="00846D10" w:rsidP="007704E5">
      <w:pPr>
        <w:pStyle w:val="Default"/>
        <w:ind w:firstLineChars="100" w:firstLine="210"/>
        <w:rPr>
          <w:rFonts w:hAnsi="Wingdings" w:hint="eastAsia"/>
          <w:sz w:val="21"/>
          <w:szCs w:val="21"/>
        </w:rPr>
      </w:pPr>
      <w:r>
        <w:rPr>
          <w:rFonts w:hAnsi="Wingdings" w:hint="eastAsia"/>
          <w:sz w:val="21"/>
          <w:szCs w:val="21"/>
        </w:rPr>
        <w:t>業界ごとにESGのスコアが上下するものの、投資家としてもともと興味のある業界で、その業界のESGのレベルは低いものの、その中ではESGのスコアの高い会社に投資することが真にESG的かどうかという疑問は残っている。</w:t>
      </w:r>
    </w:p>
    <w:p w14:paraId="04188B06" w14:textId="77777777" w:rsidR="006B230E" w:rsidRDefault="006B230E" w:rsidP="006B230E">
      <w:pPr>
        <w:pStyle w:val="Default"/>
        <w:rPr>
          <w:rFonts w:hAnsi="Wingdings" w:hint="eastAsia"/>
          <w:sz w:val="21"/>
          <w:szCs w:val="21"/>
        </w:rPr>
      </w:pPr>
    </w:p>
    <w:p w14:paraId="3C9A118A" w14:textId="0727E1C7" w:rsidR="006B230E" w:rsidRPr="00C85E78" w:rsidRDefault="006B230E" w:rsidP="00606EAC">
      <w:pPr>
        <w:pStyle w:val="Default"/>
        <w:numPr>
          <w:ilvl w:val="0"/>
          <w:numId w:val="21"/>
        </w:numPr>
        <w:rPr>
          <w:rFonts w:hAnsi="Wingdings" w:hint="eastAsia"/>
          <w:b/>
          <w:bCs/>
          <w:sz w:val="21"/>
          <w:szCs w:val="21"/>
        </w:rPr>
      </w:pPr>
      <w:r w:rsidRPr="00C85E78">
        <w:rPr>
          <w:rFonts w:hAnsi="Wingdings" w:hint="eastAsia"/>
          <w:b/>
          <w:bCs/>
          <w:sz w:val="21"/>
          <w:szCs w:val="21"/>
        </w:rPr>
        <w:t>NASDAQのダイバーシティ開示ルール</w:t>
      </w:r>
      <w:r>
        <w:rPr>
          <w:rFonts w:hAnsi="Wingdings"/>
          <w:b/>
          <w:bCs/>
          <w:sz w:val="21"/>
          <w:szCs w:val="21"/>
        </w:rPr>
        <w:tab/>
      </w:r>
      <w:r>
        <w:rPr>
          <w:rFonts w:hAnsi="Wingdings" w:hint="eastAsia"/>
          <w:b/>
          <w:bCs/>
          <w:sz w:val="21"/>
          <w:szCs w:val="21"/>
        </w:rPr>
        <w:t>ソース：　NASDAQ</w:t>
      </w:r>
    </w:p>
    <w:p w14:paraId="7D9FA2FC" w14:textId="77777777" w:rsidR="006B230E" w:rsidRDefault="006B230E" w:rsidP="006B230E">
      <w:pPr>
        <w:pStyle w:val="Default"/>
        <w:rPr>
          <w:rFonts w:hAnsi="Wingdings" w:hint="eastAsia"/>
          <w:sz w:val="21"/>
          <w:szCs w:val="21"/>
        </w:rPr>
      </w:pPr>
      <w:bookmarkStart w:id="4" w:name="_Hlk143927945"/>
    </w:p>
    <w:p w14:paraId="3870E99C" w14:textId="77777777" w:rsidR="00606EAC" w:rsidRDefault="006B230E" w:rsidP="00606EAC">
      <w:pPr>
        <w:pStyle w:val="Default"/>
        <w:ind w:firstLineChars="100" w:firstLine="210"/>
        <w:rPr>
          <w:rFonts w:hAnsi="Wingdings" w:hint="eastAsia"/>
          <w:sz w:val="21"/>
          <w:szCs w:val="21"/>
        </w:rPr>
      </w:pPr>
      <w:r>
        <w:rPr>
          <w:rFonts w:hAnsi="Wingdings" w:hint="eastAsia"/>
          <w:sz w:val="21"/>
          <w:szCs w:val="21"/>
        </w:rPr>
        <w:t>NASDAQの</w:t>
      </w:r>
      <w:r w:rsidRPr="0095475C">
        <w:rPr>
          <w:rFonts w:hAnsi="Wingdings"/>
          <w:sz w:val="21"/>
          <w:szCs w:val="21"/>
        </w:rPr>
        <w:t>Global Select Market and Nasdaq Global Market</w:t>
      </w:r>
      <w:r>
        <w:rPr>
          <w:rFonts w:hAnsi="Wingdings" w:hint="eastAsia"/>
          <w:sz w:val="21"/>
          <w:szCs w:val="21"/>
        </w:rPr>
        <w:t>に上場している企業は2023年8月6日までに最低1名の取締役の多様性を持ち、もし持てなければその理由説明を行うことを求める。</w:t>
      </w:r>
    </w:p>
    <w:p w14:paraId="703CA52A" w14:textId="200D4731" w:rsidR="006B230E" w:rsidRDefault="006B230E" w:rsidP="00606EAC">
      <w:pPr>
        <w:pStyle w:val="Default"/>
        <w:rPr>
          <w:rFonts w:hAnsi="Wingdings" w:hint="eastAsia"/>
          <w:sz w:val="21"/>
          <w:szCs w:val="21"/>
        </w:rPr>
      </w:pPr>
      <w:r>
        <w:rPr>
          <w:rFonts w:hAnsi="Wingdings" w:hint="eastAsia"/>
          <w:sz w:val="21"/>
          <w:szCs w:val="21"/>
        </w:rPr>
        <w:lastRenderedPageBreak/>
        <w:t>また2025年8月6日までに最低2名の取締役の多様性を求める。</w:t>
      </w:r>
    </w:p>
    <w:bookmarkEnd w:id="4"/>
    <w:p w14:paraId="598EED69" w14:textId="77777777" w:rsidR="00606EAC" w:rsidRDefault="006B230E" w:rsidP="00606EAC">
      <w:pPr>
        <w:pStyle w:val="Default"/>
        <w:ind w:firstLineChars="100" w:firstLine="210"/>
        <w:rPr>
          <w:rFonts w:hAnsi="Wingdings" w:hint="eastAsia"/>
          <w:sz w:val="21"/>
          <w:szCs w:val="21"/>
        </w:rPr>
      </w:pPr>
      <w:r w:rsidRPr="0095475C">
        <w:rPr>
          <w:rFonts w:hAnsi="Wingdings" w:hint="eastAsia"/>
          <w:sz w:val="21"/>
          <w:szCs w:val="21"/>
        </w:rPr>
        <w:t>NASDAQの</w:t>
      </w:r>
      <w:r>
        <w:rPr>
          <w:rFonts w:hAnsi="Wingdings" w:hint="eastAsia"/>
          <w:sz w:val="21"/>
          <w:szCs w:val="21"/>
        </w:rPr>
        <w:t>Capital</w:t>
      </w:r>
      <w:r w:rsidRPr="0095475C">
        <w:rPr>
          <w:rFonts w:hAnsi="Wingdings" w:hint="eastAsia"/>
          <w:sz w:val="21"/>
          <w:szCs w:val="21"/>
        </w:rPr>
        <w:t xml:space="preserve"> Marketに上場している企業は2023年8月6日までに最低1名の取締役の多様性を持ち、もし持てなければその理由説明を行うことを求める。</w:t>
      </w:r>
    </w:p>
    <w:p w14:paraId="619933C4" w14:textId="5EBED219" w:rsidR="006B230E" w:rsidRDefault="006B230E" w:rsidP="00606EAC">
      <w:pPr>
        <w:pStyle w:val="Default"/>
        <w:rPr>
          <w:rFonts w:hAnsi="Wingdings" w:hint="eastAsia"/>
          <w:sz w:val="21"/>
          <w:szCs w:val="21"/>
        </w:rPr>
      </w:pPr>
      <w:r w:rsidRPr="0095475C">
        <w:rPr>
          <w:rFonts w:hAnsi="Wingdings" w:hint="eastAsia"/>
          <w:sz w:val="21"/>
          <w:szCs w:val="21"/>
        </w:rPr>
        <w:t>また202</w:t>
      </w:r>
      <w:r>
        <w:rPr>
          <w:rFonts w:hAnsi="Wingdings" w:hint="eastAsia"/>
          <w:sz w:val="21"/>
          <w:szCs w:val="21"/>
        </w:rPr>
        <w:t>6</w:t>
      </w:r>
      <w:r w:rsidRPr="0095475C">
        <w:rPr>
          <w:rFonts w:hAnsi="Wingdings" w:hint="eastAsia"/>
          <w:sz w:val="21"/>
          <w:szCs w:val="21"/>
        </w:rPr>
        <w:t>年8月6日までに最低2名の取締役の多様性を求める。</w:t>
      </w:r>
    </w:p>
    <w:p w14:paraId="4D63DB9E"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NASDAQの上場企業は取締役の多様性状況を毎年開示することを求められる。</w:t>
      </w:r>
    </w:p>
    <w:p w14:paraId="0AED0814"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NASDAQのダイバーシティ開示ルールはSECに承認されている。</w:t>
      </w:r>
    </w:p>
    <w:p w14:paraId="424C9AC5" w14:textId="77777777" w:rsidR="006B230E" w:rsidRDefault="006B230E" w:rsidP="006B230E">
      <w:pPr>
        <w:pStyle w:val="Default"/>
        <w:rPr>
          <w:rFonts w:hAnsi="Wingdings" w:hint="eastAsia"/>
          <w:sz w:val="21"/>
          <w:szCs w:val="21"/>
        </w:rPr>
      </w:pPr>
    </w:p>
    <w:p w14:paraId="0FDA5814" w14:textId="5E354D4B" w:rsidR="006B230E" w:rsidRDefault="006B230E" w:rsidP="00606EAC">
      <w:pPr>
        <w:pStyle w:val="Default"/>
        <w:numPr>
          <w:ilvl w:val="0"/>
          <w:numId w:val="21"/>
        </w:numPr>
        <w:rPr>
          <w:rFonts w:hAnsi="Wingdings" w:hint="eastAsia"/>
          <w:b/>
          <w:bCs/>
          <w:sz w:val="21"/>
          <w:szCs w:val="21"/>
        </w:rPr>
      </w:pPr>
      <w:r w:rsidRPr="00C85E78">
        <w:rPr>
          <w:rFonts w:hAnsi="Wingdings" w:hint="eastAsia"/>
          <w:b/>
          <w:bCs/>
          <w:sz w:val="21"/>
          <w:szCs w:val="21"/>
        </w:rPr>
        <w:t>非財務情報管理と企業価値向上</w:t>
      </w:r>
      <w:r w:rsidRPr="00C85E78">
        <w:rPr>
          <w:rFonts w:hAnsi="Wingdings"/>
          <w:b/>
          <w:bCs/>
          <w:sz w:val="21"/>
          <w:szCs w:val="21"/>
        </w:rPr>
        <w:tab/>
      </w:r>
      <w:r w:rsidRPr="00C85E78">
        <w:rPr>
          <w:rFonts w:hAnsi="Wingdings"/>
          <w:b/>
          <w:bCs/>
          <w:sz w:val="21"/>
          <w:szCs w:val="21"/>
        </w:rPr>
        <w:tab/>
      </w:r>
      <w:r w:rsidRPr="00C85E78">
        <w:rPr>
          <w:rFonts w:hAnsi="Wingdings" w:hint="eastAsia"/>
          <w:b/>
          <w:bCs/>
          <w:sz w:val="21"/>
          <w:szCs w:val="21"/>
        </w:rPr>
        <w:t>ソース：　PwC</w:t>
      </w:r>
    </w:p>
    <w:p w14:paraId="13E38026" w14:textId="77777777" w:rsidR="00606EAC" w:rsidRPr="00C85E78" w:rsidRDefault="00606EAC" w:rsidP="00606EAC">
      <w:pPr>
        <w:pStyle w:val="Default"/>
        <w:ind w:left="360"/>
        <w:rPr>
          <w:rFonts w:hAnsi="Wingdings" w:hint="eastAsia"/>
          <w:b/>
          <w:bCs/>
          <w:sz w:val="21"/>
          <w:szCs w:val="21"/>
        </w:rPr>
      </w:pPr>
    </w:p>
    <w:p w14:paraId="56B49B12" w14:textId="77777777" w:rsidR="00606EAC" w:rsidRDefault="006B230E" w:rsidP="00606EAC">
      <w:pPr>
        <w:pStyle w:val="Default"/>
        <w:ind w:left="210"/>
        <w:rPr>
          <w:rFonts w:hAnsi="Wingdings" w:hint="eastAsia"/>
          <w:sz w:val="21"/>
          <w:szCs w:val="21"/>
        </w:rPr>
      </w:pPr>
      <w:r>
        <w:rPr>
          <w:rFonts w:hAnsi="Wingdings" w:hint="eastAsia"/>
          <w:sz w:val="21"/>
          <w:szCs w:val="21"/>
        </w:rPr>
        <w:t>SDGに象徴される社会の持続性価値向上への期待と要求に応えられているかどうか、</w:t>
      </w:r>
    </w:p>
    <w:p w14:paraId="4671A8F1" w14:textId="290AEEDD" w:rsidR="006B230E" w:rsidRDefault="00606EAC" w:rsidP="00606EAC">
      <w:pPr>
        <w:pStyle w:val="Default"/>
        <w:rPr>
          <w:rFonts w:hAnsi="Wingdings" w:hint="eastAsia"/>
          <w:sz w:val="21"/>
          <w:szCs w:val="21"/>
        </w:rPr>
      </w:pPr>
      <w:r>
        <w:rPr>
          <w:rFonts w:hAnsi="Wingdings" w:hint="eastAsia"/>
          <w:sz w:val="21"/>
          <w:szCs w:val="21"/>
        </w:rPr>
        <w:t>そ</w:t>
      </w:r>
      <w:r w:rsidR="006B230E">
        <w:rPr>
          <w:rFonts w:hAnsi="Wingdings" w:hint="eastAsia"/>
          <w:sz w:val="21"/>
          <w:szCs w:val="21"/>
        </w:rPr>
        <w:t>して、株主・投資家の視点から見たときに企業が社会の期待と要求に応えられているかどうか、そして自然環境と社会環境の変化に応え、企業価値の向上が図られているかどうかの判断において非財務情報が重要となる。</w:t>
      </w:r>
    </w:p>
    <w:p w14:paraId="116B0FCD"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こうした非財務情報の開示ニーズの高まりから、その開示に関する以下のようなスタンダードやフレームワークが生まれている。</w:t>
      </w:r>
    </w:p>
    <w:p w14:paraId="5349F4AD" w14:textId="77777777" w:rsidR="006B230E" w:rsidRDefault="006B230E" w:rsidP="006B230E">
      <w:pPr>
        <w:pStyle w:val="Default"/>
        <w:rPr>
          <w:rFonts w:hAnsi="Wingdings" w:hint="eastAsia"/>
          <w:sz w:val="21"/>
          <w:szCs w:val="21"/>
        </w:rPr>
      </w:pPr>
    </w:p>
    <w:p w14:paraId="573C7C72" w14:textId="77777777" w:rsidR="006B230E" w:rsidRDefault="006B230E" w:rsidP="006B230E">
      <w:pPr>
        <w:pStyle w:val="Default"/>
        <w:numPr>
          <w:ilvl w:val="0"/>
          <w:numId w:val="10"/>
        </w:numPr>
        <w:rPr>
          <w:rFonts w:hAnsi="Wingdings" w:hint="eastAsia"/>
          <w:sz w:val="21"/>
          <w:szCs w:val="21"/>
        </w:rPr>
      </w:pPr>
      <w:r>
        <w:rPr>
          <w:rFonts w:hAnsi="Wingdings" w:hint="eastAsia"/>
          <w:sz w:val="21"/>
          <w:szCs w:val="21"/>
        </w:rPr>
        <w:t>International Integrated Reporting Council（IIRC）によるI</w:t>
      </w:r>
      <w:r>
        <w:rPr>
          <w:rFonts w:hAnsi="Wingdings"/>
          <w:sz w:val="21"/>
          <w:szCs w:val="21"/>
        </w:rPr>
        <w:t>nternational &lt;IR&gt; Framework</w:t>
      </w:r>
    </w:p>
    <w:p w14:paraId="467EF4F6" w14:textId="77777777" w:rsidR="006B230E" w:rsidRDefault="006B230E" w:rsidP="006B230E">
      <w:pPr>
        <w:pStyle w:val="Default"/>
        <w:ind w:leftChars="100" w:left="210"/>
        <w:rPr>
          <w:rFonts w:hAnsi="Wingdings" w:hint="eastAsia"/>
          <w:sz w:val="21"/>
          <w:szCs w:val="21"/>
        </w:rPr>
      </w:pPr>
      <w:r>
        <w:rPr>
          <w:rFonts w:hAnsi="Wingdings" w:hint="eastAsia"/>
          <w:sz w:val="21"/>
          <w:szCs w:val="21"/>
        </w:rPr>
        <w:t>６つの資本（財務資本、製造資本、知的資本、人的資本、社会及び関係資本、自然　　資本）を用いた企業価値創造の過程を統合的に開示するためのフレームワーク</w:t>
      </w:r>
    </w:p>
    <w:p w14:paraId="0F884927" w14:textId="77777777" w:rsidR="006B230E" w:rsidRDefault="006B230E" w:rsidP="006B230E">
      <w:pPr>
        <w:pStyle w:val="Default"/>
        <w:numPr>
          <w:ilvl w:val="0"/>
          <w:numId w:val="10"/>
        </w:numPr>
        <w:rPr>
          <w:rFonts w:hAnsi="Wingdings" w:hint="eastAsia"/>
          <w:sz w:val="21"/>
          <w:szCs w:val="21"/>
        </w:rPr>
      </w:pPr>
      <w:r>
        <w:rPr>
          <w:rFonts w:hAnsi="Wingdings"/>
          <w:sz w:val="21"/>
          <w:szCs w:val="21"/>
        </w:rPr>
        <w:t>U.S. Sustainability Accounting Standards Board (</w:t>
      </w:r>
      <w:r>
        <w:rPr>
          <w:rFonts w:hAnsi="Wingdings" w:hint="eastAsia"/>
          <w:sz w:val="21"/>
          <w:szCs w:val="21"/>
        </w:rPr>
        <w:t>SASB</w:t>
      </w:r>
      <w:r>
        <w:rPr>
          <w:rFonts w:hAnsi="Wingdings"/>
          <w:sz w:val="21"/>
          <w:szCs w:val="21"/>
        </w:rPr>
        <w:t>)</w:t>
      </w:r>
      <w:r>
        <w:rPr>
          <w:rFonts w:hAnsi="Wingdings" w:hint="eastAsia"/>
          <w:sz w:val="21"/>
          <w:szCs w:val="21"/>
        </w:rPr>
        <w:t>スタンダード</w:t>
      </w:r>
    </w:p>
    <w:p w14:paraId="7A6B1117" w14:textId="77777777" w:rsidR="006B230E" w:rsidRDefault="006B230E" w:rsidP="006B230E">
      <w:pPr>
        <w:pStyle w:val="Default"/>
        <w:rPr>
          <w:rFonts w:hAnsi="Wingdings" w:hint="eastAsia"/>
          <w:sz w:val="21"/>
          <w:szCs w:val="21"/>
        </w:rPr>
      </w:pPr>
      <w:r>
        <w:rPr>
          <w:rFonts w:hAnsi="Wingdings" w:hint="eastAsia"/>
          <w:sz w:val="21"/>
          <w:szCs w:val="21"/>
        </w:rPr>
        <w:t xml:space="preserve">　将来の業績に大きなインパクトを与えかねない非財務要因の開示に関するスタンダード</w:t>
      </w:r>
    </w:p>
    <w:p w14:paraId="787B9AD6" w14:textId="77777777" w:rsidR="006B230E" w:rsidRDefault="006B230E" w:rsidP="006B230E">
      <w:pPr>
        <w:pStyle w:val="Default"/>
        <w:numPr>
          <w:ilvl w:val="0"/>
          <w:numId w:val="10"/>
        </w:numPr>
        <w:rPr>
          <w:rFonts w:hAnsi="Wingdings" w:hint="eastAsia"/>
          <w:sz w:val="21"/>
          <w:szCs w:val="21"/>
        </w:rPr>
      </w:pPr>
      <w:r>
        <w:rPr>
          <w:rFonts w:hAnsi="Wingdings"/>
          <w:sz w:val="21"/>
          <w:szCs w:val="21"/>
        </w:rPr>
        <w:t>Global Reporting Initiative (</w:t>
      </w:r>
      <w:r>
        <w:rPr>
          <w:rFonts w:hAnsi="Wingdings" w:hint="eastAsia"/>
          <w:sz w:val="21"/>
          <w:szCs w:val="21"/>
        </w:rPr>
        <w:t>GRI</w:t>
      </w:r>
      <w:r>
        <w:rPr>
          <w:rFonts w:hAnsi="Wingdings"/>
          <w:sz w:val="21"/>
          <w:szCs w:val="21"/>
        </w:rPr>
        <w:t>)</w:t>
      </w:r>
      <w:r>
        <w:rPr>
          <w:rFonts w:hAnsi="Wingdings" w:hint="eastAsia"/>
          <w:sz w:val="21"/>
          <w:szCs w:val="21"/>
        </w:rPr>
        <w:t>スタンダード</w:t>
      </w:r>
    </w:p>
    <w:p w14:paraId="38EFEAC5" w14:textId="77777777" w:rsidR="006B230E" w:rsidRDefault="006B230E" w:rsidP="006B230E">
      <w:pPr>
        <w:pStyle w:val="Default"/>
        <w:rPr>
          <w:rFonts w:hAnsi="Wingdings" w:hint="eastAsia"/>
          <w:sz w:val="21"/>
          <w:szCs w:val="21"/>
        </w:rPr>
      </w:pPr>
      <w:r>
        <w:rPr>
          <w:rFonts w:hAnsi="Wingdings" w:hint="eastAsia"/>
          <w:sz w:val="21"/>
          <w:szCs w:val="21"/>
        </w:rPr>
        <w:t xml:space="preserve">　経済、環境、社会に重大な影響を及ぼし得る非財務情報の報告のためのフレームワーク</w:t>
      </w:r>
    </w:p>
    <w:p w14:paraId="670E581D" w14:textId="77777777" w:rsidR="006B230E" w:rsidRDefault="006B230E" w:rsidP="006B230E">
      <w:pPr>
        <w:pStyle w:val="Default"/>
        <w:numPr>
          <w:ilvl w:val="0"/>
          <w:numId w:val="10"/>
        </w:numPr>
        <w:rPr>
          <w:rFonts w:hAnsi="Wingdings" w:hint="eastAsia"/>
          <w:sz w:val="21"/>
          <w:szCs w:val="21"/>
        </w:rPr>
      </w:pPr>
      <w:r>
        <w:rPr>
          <w:rFonts w:hAnsi="Wingdings" w:hint="eastAsia"/>
          <w:sz w:val="21"/>
          <w:szCs w:val="21"/>
        </w:rPr>
        <w:t>T</w:t>
      </w:r>
      <w:r>
        <w:rPr>
          <w:rFonts w:hAnsi="Wingdings"/>
          <w:sz w:val="21"/>
          <w:szCs w:val="21"/>
        </w:rPr>
        <w:t>ask Force on Climate-related Financial Disclosures (TCFD)</w:t>
      </w:r>
      <w:r>
        <w:rPr>
          <w:rFonts w:hAnsi="Wingdings" w:hint="eastAsia"/>
          <w:sz w:val="21"/>
          <w:szCs w:val="21"/>
        </w:rPr>
        <w:t>の推奨</w:t>
      </w:r>
    </w:p>
    <w:p w14:paraId="2C57347E" w14:textId="77777777" w:rsidR="006B230E" w:rsidRDefault="006B230E" w:rsidP="006B230E">
      <w:pPr>
        <w:pStyle w:val="Default"/>
        <w:rPr>
          <w:rFonts w:hAnsi="Wingdings" w:hint="eastAsia"/>
          <w:sz w:val="21"/>
          <w:szCs w:val="21"/>
        </w:rPr>
      </w:pPr>
      <w:r>
        <w:rPr>
          <w:rFonts w:hAnsi="Wingdings" w:hint="eastAsia"/>
          <w:sz w:val="21"/>
          <w:szCs w:val="21"/>
        </w:rPr>
        <w:t xml:space="preserve">　気候変動に関する財務および非財務情報開示のためのフレームワーク</w:t>
      </w:r>
    </w:p>
    <w:p w14:paraId="28858517" w14:textId="77777777" w:rsidR="006B230E" w:rsidRDefault="006B230E" w:rsidP="006B230E">
      <w:pPr>
        <w:pStyle w:val="Default"/>
        <w:rPr>
          <w:rFonts w:hAnsi="Wingdings" w:hint="eastAsia"/>
          <w:sz w:val="21"/>
          <w:szCs w:val="21"/>
        </w:rPr>
      </w:pPr>
    </w:p>
    <w:p w14:paraId="254F897E"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50カ国以上の経営幹部に対するアンケート調査では、87%が経営判断のために非財務情報を活用中乃至活用しようと努力していると回答。また、96%が財務情報と非財務情報を統合することでより良い経営判断が可能になると回答。</w:t>
      </w:r>
    </w:p>
    <w:p w14:paraId="775A5AD8"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一方で、投資家や利害関係者が求める非財務情報を開示している割合は24%に留まる。</w:t>
      </w:r>
    </w:p>
    <w:p w14:paraId="18BFD6B4" w14:textId="77777777" w:rsidR="00606EAC" w:rsidRDefault="006B230E" w:rsidP="00606EAC">
      <w:pPr>
        <w:pStyle w:val="Default"/>
        <w:ind w:firstLineChars="100" w:firstLine="210"/>
        <w:rPr>
          <w:rFonts w:hAnsi="Wingdings" w:hint="eastAsia"/>
          <w:sz w:val="21"/>
          <w:szCs w:val="21"/>
        </w:rPr>
      </w:pPr>
      <w:r>
        <w:rPr>
          <w:rFonts w:hAnsi="Wingdings" w:hint="eastAsia"/>
          <w:sz w:val="21"/>
          <w:szCs w:val="21"/>
        </w:rPr>
        <w:t>自然資本での具体例として最も多かったのはカーボン、水資源、エネルギー、</w:t>
      </w:r>
      <w:r w:rsidR="00606EAC">
        <w:rPr>
          <w:rFonts w:hAnsi="Wingdings" w:hint="eastAsia"/>
          <w:sz w:val="21"/>
          <w:szCs w:val="21"/>
        </w:rPr>
        <w:t>気候</w:t>
      </w:r>
      <w:r>
        <w:rPr>
          <w:rFonts w:hAnsi="Wingdings" w:hint="eastAsia"/>
          <w:sz w:val="21"/>
          <w:szCs w:val="21"/>
        </w:rPr>
        <w:t xml:space="preserve">と気候変動及び天然資源であった。　</w:t>
      </w:r>
    </w:p>
    <w:p w14:paraId="605C19E3" w14:textId="363134B5" w:rsidR="006B230E" w:rsidRDefault="006B230E" w:rsidP="00606EAC">
      <w:pPr>
        <w:pStyle w:val="Default"/>
        <w:ind w:firstLineChars="100" w:firstLine="210"/>
        <w:rPr>
          <w:rFonts w:hAnsi="Wingdings" w:hint="eastAsia"/>
          <w:sz w:val="21"/>
          <w:szCs w:val="21"/>
        </w:rPr>
      </w:pPr>
      <w:r>
        <w:rPr>
          <w:rFonts w:hAnsi="Wingdings" w:hint="eastAsia"/>
          <w:sz w:val="21"/>
          <w:szCs w:val="21"/>
        </w:rPr>
        <w:t>社会と人的資本では、コミュニティ、従業員および人権が多く回答された。</w:t>
      </w:r>
    </w:p>
    <w:p w14:paraId="4859F866"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企業が自社の価値向上のために非財務情報を通じて自然資本と社会及び人的資本を把握し活用する理由は、リスク管理（専らレピュテーションリスク）、業務改善（調達コスト</w:t>
      </w:r>
      <w:r>
        <w:rPr>
          <w:rFonts w:hAnsi="Wingdings" w:hint="eastAsia"/>
          <w:sz w:val="21"/>
          <w:szCs w:val="21"/>
        </w:rPr>
        <w:lastRenderedPageBreak/>
        <w:t>削減、安定的サプライチェーン確保、社員満足を通じた生産性向上等）及び事業機会創出とイノベーション（気候変動は戦略的機会、循環経済は機会、従業員の幸福度向上は事業機会創出と成長を促す）。</w:t>
      </w:r>
    </w:p>
    <w:p w14:paraId="3E9B4037" w14:textId="4BE67CEA" w:rsidR="006B230E" w:rsidRDefault="006B230E" w:rsidP="00606EAC">
      <w:pPr>
        <w:pStyle w:val="Default"/>
        <w:ind w:firstLineChars="100" w:firstLine="210"/>
        <w:rPr>
          <w:rFonts w:hAnsi="Wingdings" w:hint="eastAsia"/>
          <w:sz w:val="21"/>
          <w:szCs w:val="21"/>
        </w:rPr>
      </w:pPr>
      <w:r>
        <w:rPr>
          <w:rFonts w:hAnsi="Wingdings" w:hint="eastAsia"/>
          <w:sz w:val="21"/>
          <w:szCs w:val="21"/>
        </w:rPr>
        <w:t>非財務情報の測定と価値化については自然資本については二酸化炭素・GHG排出量の</w:t>
      </w:r>
      <w:r w:rsidR="00606EAC">
        <w:rPr>
          <w:rFonts w:hAnsi="Wingdings" w:hint="eastAsia"/>
          <w:sz w:val="21"/>
          <w:szCs w:val="21"/>
        </w:rPr>
        <w:t xml:space="preserve">　</w:t>
      </w:r>
      <w:r>
        <w:rPr>
          <w:rFonts w:hAnsi="Wingdings" w:hint="eastAsia"/>
          <w:sz w:val="21"/>
          <w:szCs w:val="21"/>
        </w:rPr>
        <w:t>測定、カーボンフットプリント、エネルギー消費率削減度、再生可能エネルギーへの転換度、水資源消費量、水資源利用効率、持続可能な天然資源利用率、廃棄物の量などを</w:t>
      </w:r>
      <w:r w:rsidR="00606EAC">
        <w:rPr>
          <w:rFonts w:hAnsi="Wingdings" w:hint="eastAsia"/>
          <w:sz w:val="21"/>
          <w:szCs w:val="21"/>
        </w:rPr>
        <w:t xml:space="preserve">　　</w:t>
      </w:r>
      <w:r>
        <w:rPr>
          <w:rFonts w:hAnsi="Wingdings" w:hint="eastAsia"/>
          <w:sz w:val="21"/>
          <w:szCs w:val="21"/>
        </w:rPr>
        <w:t>測定。</w:t>
      </w:r>
    </w:p>
    <w:p w14:paraId="64FB4BAE" w14:textId="77777777" w:rsidR="006B230E" w:rsidRDefault="006B230E" w:rsidP="00606EAC">
      <w:pPr>
        <w:pStyle w:val="Default"/>
        <w:ind w:firstLineChars="100" w:firstLine="210"/>
        <w:rPr>
          <w:rFonts w:hAnsi="Wingdings" w:hint="eastAsia"/>
          <w:sz w:val="21"/>
          <w:szCs w:val="21"/>
        </w:rPr>
      </w:pPr>
      <w:r>
        <w:rPr>
          <w:rFonts w:hAnsi="Wingdings" w:hint="eastAsia"/>
          <w:sz w:val="21"/>
          <w:szCs w:val="21"/>
        </w:rPr>
        <w:t>社会及び人的資本については、従業員満足度、多様性と包摂性の度合い、労働災害率、コミュニティ活動参加率と投資額、人権問題の有無の確認と倫理的調達がなされているプロジェクトの割合などを測定。</w:t>
      </w:r>
    </w:p>
    <w:p w14:paraId="5E47AF54" w14:textId="77777777" w:rsidR="00606EAC" w:rsidRDefault="006B230E" w:rsidP="00606EAC">
      <w:pPr>
        <w:pStyle w:val="Default"/>
        <w:ind w:firstLineChars="100" w:firstLine="210"/>
        <w:rPr>
          <w:rFonts w:hAnsi="Wingdings" w:hint="eastAsia"/>
          <w:sz w:val="21"/>
          <w:szCs w:val="21"/>
        </w:rPr>
      </w:pPr>
      <w:r>
        <w:rPr>
          <w:rFonts w:hAnsi="Wingdings" w:hint="eastAsia"/>
          <w:sz w:val="21"/>
          <w:szCs w:val="21"/>
        </w:rPr>
        <w:t>企業活動をインプット⇒プロセス⇒アウトプット⇒顧客への影響⇒社会・経済への影響⇒インプット、という循環と見る時、多くの回答企業がインプットからアウトプットのところまでの非財務要因の情報データを収集している。</w:t>
      </w:r>
    </w:p>
    <w:p w14:paraId="179339EA" w14:textId="1222CB9F" w:rsidR="006B230E" w:rsidRDefault="006B230E" w:rsidP="00606EAC">
      <w:pPr>
        <w:pStyle w:val="Default"/>
        <w:ind w:firstLineChars="100" w:firstLine="210"/>
        <w:rPr>
          <w:rFonts w:hAnsi="Wingdings" w:hint="eastAsia"/>
          <w:sz w:val="21"/>
          <w:szCs w:val="21"/>
        </w:rPr>
      </w:pPr>
      <w:r>
        <w:rPr>
          <w:rFonts w:hAnsi="Wingdings" w:hint="eastAsia"/>
          <w:sz w:val="21"/>
          <w:szCs w:val="21"/>
        </w:rPr>
        <w:t>何社かは顧客への影響まで測定。さらには欧州のBASF（独）、Kering（仏）及びNovartis（スイス）は社会・経済への影響まで測定している。</w:t>
      </w:r>
    </w:p>
    <w:p w14:paraId="225A7F8C" w14:textId="77777777" w:rsidR="000F5202" w:rsidRPr="00606EAC" w:rsidRDefault="000F5202" w:rsidP="005B2171">
      <w:pPr>
        <w:pStyle w:val="Default"/>
        <w:rPr>
          <w:rFonts w:hAnsi="Wingdings" w:hint="eastAsia"/>
          <w:sz w:val="21"/>
          <w:szCs w:val="21"/>
        </w:rPr>
      </w:pPr>
    </w:p>
    <w:p w14:paraId="035F0874" w14:textId="7D0A9F32" w:rsidR="000F5202" w:rsidRPr="000F5202" w:rsidRDefault="00606EAC" w:rsidP="00606EAC">
      <w:pPr>
        <w:pStyle w:val="Default"/>
        <w:rPr>
          <w:rFonts w:hAnsi="Wingdings" w:hint="eastAsia"/>
          <w:b/>
          <w:bCs/>
          <w:sz w:val="21"/>
          <w:szCs w:val="21"/>
        </w:rPr>
      </w:pPr>
      <w:r w:rsidRPr="00606EAC">
        <w:rPr>
          <w:rFonts w:hAnsi="Wingdings" w:hint="eastAsia"/>
          <w:b/>
          <w:bCs/>
          <w:sz w:val="21"/>
          <w:szCs w:val="21"/>
        </w:rPr>
        <w:t>④</w:t>
      </w:r>
      <w:r>
        <w:rPr>
          <w:rFonts w:hAnsi="Wingdings" w:hint="eastAsia"/>
          <w:b/>
          <w:bCs/>
          <w:sz w:val="21"/>
          <w:szCs w:val="21"/>
        </w:rPr>
        <w:t xml:space="preserve"> </w:t>
      </w:r>
      <w:r w:rsidR="000F5202" w:rsidRPr="00606EAC">
        <w:rPr>
          <w:rFonts w:hAnsi="Wingdings" w:hint="eastAsia"/>
          <w:b/>
          <w:bCs/>
          <w:sz w:val="21"/>
          <w:szCs w:val="21"/>
        </w:rPr>
        <w:t>ダ</w:t>
      </w:r>
      <w:r w:rsidR="000F5202" w:rsidRPr="000F5202">
        <w:rPr>
          <w:rFonts w:hAnsi="Wingdings" w:hint="eastAsia"/>
          <w:b/>
          <w:bCs/>
          <w:sz w:val="21"/>
          <w:szCs w:val="21"/>
        </w:rPr>
        <w:t>イバーシティと企業業績</w:t>
      </w:r>
      <w:r w:rsidR="000F5202" w:rsidRPr="000F5202">
        <w:rPr>
          <w:rFonts w:hAnsi="Wingdings"/>
          <w:b/>
          <w:bCs/>
          <w:sz w:val="21"/>
          <w:szCs w:val="21"/>
        </w:rPr>
        <w:tab/>
      </w:r>
      <w:r w:rsidR="000F5202" w:rsidRPr="000F5202">
        <w:rPr>
          <w:rFonts w:hAnsi="Wingdings" w:hint="eastAsia"/>
          <w:b/>
          <w:bCs/>
          <w:sz w:val="21"/>
          <w:szCs w:val="21"/>
        </w:rPr>
        <w:t>ソース：　マッキンゼー</w:t>
      </w:r>
    </w:p>
    <w:p w14:paraId="6FD40B67" w14:textId="77777777" w:rsidR="000F5202" w:rsidRDefault="000F5202" w:rsidP="000F5202">
      <w:pPr>
        <w:pStyle w:val="Default"/>
        <w:rPr>
          <w:rFonts w:hAnsi="Wingdings" w:hint="eastAsia"/>
          <w:sz w:val="21"/>
          <w:szCs w:val="21"/>
        </w:rPr>
      </w:pPr>
    </w:p>
    <w:p w14:paraId="34C65046" w14:textId="77777777" w:rsidR="000F5202" w:rsidRPr="004627C6" w:rsidRDefault="000F5202" w:rsidP="00606EAC">
      <w:pPr>
        <w:pStyle w:val="Default"/>
        <w:ind w:firstLineChars="100" w:firstLine="210"/>
        <w:rPr>
          <w:rFonts w:hAnsi="Wingdings" w:hint="eastAsia"/>
          <w:sz w:val="21"/>
          <w:szCs w:val="21"/>
        </w:rPr>
      </w:pPr>
      <w:r w:rsidRPr="004627C6">
        <w:rPr>
          <w:rFonts w:hAnsi="Wingdings" w:hint="eastAsia"/>
          <w:sz w:val="21"/>
          <w:szCs w:val="21"/>
        </w:rPr>
        <w:t>2021年版マッキンゼーレポート</w:t>
      </w:r>
      <w:r>
        <w:rPr>
          <w:rFonts w:hAnsi="Wingdings" w:hint="eastAsia"/>
          <w:sz w:val="21"/>
          <w:szCs w:val="21"/>
        </w:rPr>
        <w:t>『</w:t>
      </w:r>
      <w:r w:rsidRPr="004627C6">
        <w:rPr>
          <w:rFonts w:hAnsi="Wingdings" w:hint="eastAsia"/>
          <w:sz w:val="21"/>
          <w:szCs w:val="21"/>
        </w:rPr>
        <w:t>Diversity wins: How inclusion matters</w:t>
      </w:r>
      <w:r>
        <w:rPr>
          <w:rFonts w:hAnsi="Wingdings" w:hint="eastAsia"/>
          <w:sz w:val="21"/>
          <w:szCs w:val="21"/>
        </w:rPr>
        <w:t>』によれば</w:t>
      </w:r>
    </w:p>
    <w:p w14:paraId="37026FF6" w14:textId="168190ED" w:rsidR="000F5202" w:rsidRDefault="000F5202" w:rsidP="000F5202">
      <w:pPr>
        <w:pStyle w:val="Default"/>
        <w:rPr>
          <w:rFonts w:hAnsi="Wingdings" w:hint="eastAsia"/>
          <w:sz w:val="21"/>
          <w:szCs w:val="21"/>
        </w:rPr>
      </w:pPr>
      <w:r>
        <w:rPr>
          <w:rFonts w:hAnsi="Wingdings" w:hint="eastAsia"/>
          <w:sz w:val="21"/>
          <w:szCs w:val="21"/>
        </w:rPr>
        <w:t>米国を含む</w:t>
      </w:r>
      <w:r w:rsidRPr="004627C6">
        <w:rPr>
          <w:rFonts w:hAnsi="Wingdings" w:hint="eastAsia"/>
          <w:sz w:val="21"/>
          <w:szCs w:val="21"/>
        </w:rPr>
        <w:t>15か国、１千社超のデータ</w:t>
      </w:r>
      <w:r w:rsidR="00852537">
        <w:rPr>
          <w:rFonts w:hAnsi="Wingdings" w:hint="eastAsia"/>
          <w:sz w:val="21"/>
          <w:szCs w:val="21"/>
        </w:rPr>
        <w:t>を</w:t>
      </w:r>
      <w:r w:rsidRPr="004627C6">
        <w:rPr>
          <w:rFonts w:hAnsi="Wingdings" w:hint="eastAsia"/>
          <w:sz w:val="21"/>
          <w:szCs w:val="21"/>
        </w:rPr>
        <w:t>調査</w:t>
      </w:r>
      <w:r w:rsidR="00852537">
        <w:rPr>
          <w:rFonts w:hAnsi="Wingdings" w:hint="eastAsia"/>
          <w:sz w:val="21"/>
          <w:szCs w:val="21"/>
        </w:rPr>
        <w:t>した</w:t>
      </w:r>
      <w:r w:rsidRPr="004627C6">
        <w:rPr>
          <w:rFonts w:hAnsi="Wingdings" w:hint="eastAsia"/>
          <w:sz w:val="21"/>
          <w:szCs w:val="21"/>
        </w:rPr>
        <w:t>結果</w:t>
      </w:r>
      <w:r w:rsidR="00852537">
        <w:rPr>
          <w:rFonts w:hAnsi="Wingdings" w:hint="eastAsia"/>
          <w:sz w:val="21"/>
          <w:szCs w:val="21"/>
        </w:rPr>
        <w:t>、</w:t>
      </w:r>
      <w:r w:rsidRPr="004627C6">
        <w:rPr>
          <w:rFonts w:hAnsi="Wingdings" w:hint="eastAsia"/>
          <w:sz w:val="21"/>
          <w:szCs w:val="21"/>
        </w:rPr>
        <w:t>エグゼクティブチームの多様性と業績の相関関係はかつてなく高</w:t>
      </w:r>
      <w:r w:rsidR="00606EAC">
        <w:rPr>
          <w:rFonts w:hAnsi="Wingdings" w:hint="eastAsia"/>
          <w:sz w:val="21"/>
          <w:szCs w:val="21"/>
        </w:rPr>
        <w:t>くなっている</w:t>
      </w:r>
      <w:r>
        <w:rPr>
          <w:rFonts w:hAnsi="Wingdings" w:hint="eastAsia"/>
          <w:sz w:val="21"/>
          <w:szCs w:val="21"/>
        </w:rPr>
        <w:t xml:space="preserve">。　</w:t>
      </w:r>
      <w:r w:rsidR="00606EAC">
        <w:rPr>
          <w:rFonts w:hAnsi="Wingdings" w:hint="eastAsia"/>
          <w:sz w:val="21"/>
          <w:szCs w:val="21"/>
        </w:rPr>
        <w:t>調査結果と米企業の事例</w:t>
      </w:r>
      <w:r>
        <w:rPr>
          <w:rFonts w:hAnsi="Wingdings" w:hint="eastAsia"/>
          <w:sz w:val="21"/>
          <w:szCs w:val="21"/>
        </w:rPr>
        <w:t>は別紙</w:t>
      </w:r>
      <w:r w:rsidR="00606EAC">
        <w:rPr>
          <w:rFonts w:hAnsi="Wingdings" w:hint="eastAsia"/>
          <w:sz w:val="21"/>
          <w:szCs w:val="21"/>
        </w:rPr>
        <w:t>７参照。</w:t>
      </w:r>
    </w:p>
    <w:p w14:paraId="738E04BC" w14:textId="77777777" w:rsidR="000F5202" w:rsidRDefault="000F5202" w:rsidP="000F5202">
      <w:pPr>
        <w:pStyle w:val="Default"/>
        <w:rPr>
          <w:rFonts w:hAnsi="Wingdings" w:hint="eastAsia"/>
          <w:sz w:val="21"/>
          <w:szCs w:val="21"/>
        </w:rPr>
      </w:pPr>
    </w:p>
    <w:p w14:paraId="614263B9" w14:textId="77777777" w:rsidR="00F2119F" w:rsidRPr="00DC4D14" w:rsidRDefault="00F2119F" w:rsidP="005B2171">
      <w:pPr>
        <w:pStyle w:val="Default"/>
        <w:rPr>
          <w:rFonts w:hAnsi="Wingdings" w:hint="eastAsia"/>
          <w:sz w:val="21"/>
          <w:szCs w:val="21"/>
        </w:rPr>
      </w:pPr>
    </w:p>
    <w:p w14:paraId="41DDFE48" w14:textId="63EDF280" w:rsidR="005751FE" w:rsidRDefault="005751FE" w:rsidP="005751FE">
      <w:pPr>
        <w:pStyle w:val="Default"/>
        <w:rPr>
          <w:rFonts w:hAnsi="Wingdings" w:hint="eastAsia"/>
          <w:b/>
          <w:bCs/>
          <w:sz w:val="21"/>
          <w:szCs w:val="21"/>
        </w:rPr>
      </w:pPr>
      <w:r w:rsidRPr="0094081B">
        <w:rPr>
          <w:rFonts w:hAnsi="Wingdings" w:hint="eastAsia"/>
          <w:b/>
          <w:bCs/>
          <w:sz w:val="21"/>
          <w:szCs w:val="21"/>
        </w:rPr>
        <w:t>【考察】</w:t>
      </w:r>
    </w:p>
    <w:p w14:paraId="242FB385" w14:textId="77777777" w:rsidR="00606EAC" w:rsidRDefault="0019366E" w:rsidP="00606EAC">
      <w:pPr>
        <w:pStyle w:val="Default"/>
        <w:ind w:firstLineChars="100" w:firstLine="210"/>
        <w:rPr>
          <w:rFonts w:hAnsi="Wingdings" w:hint="eastAsia"/>
          <w:sz w:val="21"/>
          <w:szCs w:val="21"/>
        </w:rPr>
      </w:pPr>
      <w:r>
        <w:rPr>
          <w:rFonts w:hAnsi="Wingdings" w:hint="eastAsia"/>
          <w:sz w:val="21"/>
          <w:szCs w:val="21"/>
        </w:rPr>
        <w:t>アメリカ人は消費者としてはもとより株主としてやファンドの参加者として企業やその商品・サービスに直接あるいは間接的に相対</w:t>
      </w:r>
      <w:r w:rsidR="00606EAC">
        <w:rPr>
          <w:rFonts w:hAnsi="Wingdings" w:hint="eastAsia"/>
          <w:sz w:val="21"/>
          <w:szCs w:val="21"/>
        </w:rPr>
        <w:t>している。</w:t>
      </w:r>
    </w:p>
    <w:p w14:paraId="05178043" w14:textId="11049729" w:rsidR="0019366E" w:rsidRDefault="00606EAC" w:rsidP="00606EAC">
      <w:pPr>
        <w:pStyle w:val="Default"/>
        <w:ind w:firstLineChars="100" w:firstLine="210"/>
        <w:rPr>
          <w:rFonts w:hAnsi="Wingdings" w:hint="eastAsia"/>
          <w:sz w:val="21"/>
          <w:szCs w:val="21"/>
        </w:rPr>
      </w:pPr>
      <w:r>
        <w:rPr>
          <w:rFonts w:hAnsi="Wingdings" w:hint="eastAsia"/>
          <w:sz w:val="21"/>
          <w:szCs w:val="21"/>
        </w:rPr>
        <w:t>さらに彼らは</w:t>
      </w:r>
      <w:r w:rsidR="0019366E">
        <w:rPr>
          <w:rFonts w:hAnsi="Wingdings" w:hint="eastAsia"/>
          <w:sz w:val="21"/>
          <w:szCs w:val="21"/>
        </w:rPr>
        <w:t>従業員としてあるいは経営者としては企業を代表する立場であり、そして有権者としてあるいはコミュニティ・ボランティア活動家として政治に関わる側面も持つ。</w:t>
      </w:r>
    </w:p>
    <w:p w14:paraId="65AEC8DE" w14:textId="5C1BBD3B" w:rsidR="002A25CA" w:rsidRDefault="0019366E" w:rsidP="00606EAC">
      <w:pPr>
        <w:pStyle w:val="Default"/>
        <w:ind w:firstLineChars="100" w:firstLine="210"/>
        <w:rPr>
          <w:rFonts w:hAnsi="Wingdings" w:hint="eastAsia"/>
          <w:sz w:val="21"/>
          <w:szCs w:val="21"/>
        </w:rPr>
      </w:pPr>
      <w:r>
        <w:rPr>
          <w:rFonts w:hAnsi="Wingdings" w:hint="eastAsia"/>
          <w:sz w:val="21"/>
          <w:szCs w:val="21"/>
        </w:rPr>
        <w:t>X～Z世代といった比較的若い層は</w:t>
      </w:r>
      <w:r w:rsidR="002A25CA">
        <w:rPr>
          <w:rFonts w:hAnsi="Wingdings" w:hint="eastAsia"/>
          <w:sz w:val="21"/>
          <w:szCs w:val="21"/>
        </w:rPr>
        <w:t>環境、人権、DE＆I、平和といったことへの問題意識や感性が高いといわれ、それはそのまま企業や商品の選択へとつながりやすい。</w:t>
      </w:r>
    </w:p>
    <w:p w14:paraId="7B216EFE" w14:textId="531A1B4E" w:rsidR="002A25CA" w:rsidRDefault="002A25CA" w:rsidP="005751FE">
      <w:pPr>
        <w:pStyle w:val="Default"/>
        <w:rPr>
          <w:rFonts w:hAnsi="Wingdings" w:hint="eastAsia"/>
          <w:sz w:val="21"/>
          <w:szCs w:val="21"/>
        </w:rPr>
      </w:pPr>
      <w:r>
        <w:rPr>
          <w:rFonts w:hAnsi="Wingdings" w:hint="eastAsia"/>
          <w:sz w:val="21"/>
          <w:szCs w:val="21"/>
        </w:rPr>
        <w:t>一方、団塊の世代を中心にシニアの世代は、可処分所得は多いものの、年金の運用、リターンを意識し、自分たちにとっての利害に関する政治選択の傾向が強いイメージがある。</w:t>
      </w:r>
    </w:p>
    <w:p w14:paraId="4A38BE48" w14:textId="7E9589FE" w:rsidR="002A25CA" w:rsidRDefault="002A25CA" w:rsidP="00670641">
      <w:pPr>
        <w:pStyle w:val="Default"/>
        <w:ind w:firstLineChars="100" w:firstLine="210"/>
        <w:rPr>
          <w:rFonts w:hAnsi="Wingdings" w:hint="eastAsia"/>
          <w:sz w:val="21"/>
          <w:szCs w:val="21"/>
        </w:rPr>
      </w:pPr>
      <w:r>
        <w:rPr>
          <w:rFonts w:hAnsi="Wingdings" w:hint="eastAsia"/>
          <w:sz w:val="21"/>
          <w:szCs w:val="21"/>
        </w:rPr>
        <w:t>企業の将来価値を考えるならば将来の主たる消費者であり、従業員であり、投資家ともなる若手層への訴求が必要となる。</w:t>
      </w:r>
      <w:r w:rsidR="0098152C">
        <w:rPr>
          <w:rFonts w:hAnsi="Wingdings" w:hint="eastAsia"/>
          <w:sz w:val="21"/>
          <w:szCs w:val="21"/>
        </w:rPr>
        <w:t xml:space="preserve">　</w:t>
      </w:r>
    </w:p>
    <w:p w14:paraId="13CFC185" w14:textId="0F7ED6F7" w:rsidR="0098152C" w:rsidRDefault="0098152C" w:rsidP="00670641">
      <w:pPr>
        <w:pStyle w:val="Default"/>
        <w:ind w:firstLineChars="100" w:firstLine="210"/>
        <w:rPr>
          <w:rFonts w:hAnsi="Wingdings" w:hint="eastAsia"/>
          <w:sz w:val="21"/>
          <w:szCs w:val="21"/>
        </w:rPr>
      </w:pPr>
      <w:r>
        <w:rPr>
          <w:rFonts w:hAnsi="Wingdings" w:hint="eastAsia"/>
          <w:sz w:val="21"/>
          <w:szCs w:val="21"/>
        </w:rPr>
        <w:t>一方、今の価値を考えるならばシニア層の意向は特に年金基金の投資方針などに沿う</w:t>
      </w:r>
      <w:r w:rsidR="00670641">
        <w:rPr>
          <w:rFonts w:hAnsi="Wingdings" w:hint="eastAsia"/>
          <w:sz w:val="21"/>
          <w:szCs w:val="21"/>
        </w:rPr>
        <w:t xml:space="preserve">　</w:t>
      </w:r>
      <w:r>
        <w:rPr>
          <w:rFonts w:hAnsi="Wingdings" w:hint="eastAsia"/>
          <w:sz w:val="21"/>
          <w:szCs w:val="21"/>
        </w:rPr>
        <w:lastRenderedPageBreak/>
        <w:t>必要も出てくる。</w:t>
      </w:r>
    </w:p>
    <w:p w14:paraId="51BB9CFC" w14:textId="46A62B97" w:rsidR="0098152C" w:rsidRDefault="0098152C" w:rsidP="00670641">
      <w:pPr>
        <w:pStyle w:val="Default"/>
        <w:ind w:firstLineChars="100" w:firstLine="210"/>
        <w:rPr>
          <w:rFonts w:hAnsi="Wingdings" w:hint="eastAsia"/>
          <w:sz w:val="21"/>
          <w:szCs w:val="21"/>
        </w:rPr>
      </w:pPr>
      <w:r>
        <w:rPr>
          <w:rFonts w:hAnsi="Wingdings" w:hint="eastAsia"/>
          <w:sz w:val="21"/>
          <w:szCs w:val="21"/>
        </w:rPr>
        <w:t>分断の進む</w:t>
      </w:r>
      <w:r w:rsidR="00670641">
        <w:rPr>
          <w:rFonts w:hAnsi="Wingdings" w:hint="eastAsia"/>
          <w:sz w:val="21"/>
          <w:szCs w:val="21"/>
        </w:rPr>
        <w:t>米国</w:t>
      </w:r>
      <w:r>
        <w:rPr>
          <w:rFonts w:hAnsi="Wingdings" w:hint="eastAsia"/>
          <w:sz w:val="21"/>
          <w:szCs w:val="21"/>
        </w:rPr>
        <w:t>政治において、まだ数と資金力の多いシニア層</w:t>
      </w:r>
      <w:r w:rsidR="00670641">
        <w:rPr>
          <w:rFonts w:hAnsi="Wingdings" w:hint="eastAsia"/>
          <w:sz w:val="21"/>
          <w:szCs w:val="21"/>
        </w:rPr>
        <w:t>有権者</w:t>
      </w:r>
      <w:r>
        <w:rPr>
          <w:rFonts w:hAnsi="Wingdings" w:hint="eastAsia"/>
          <w:sz w:val="21"/>
          <w:szCs w:val="21"/>
        </w:rPr>
        <w:t>においてマジョリティが当分白人であることは共和党の安定票田といえる</w:t>
      </w:r>
      <w:r w:rsidR="00114FEF">
        <w:rPr>
          <w:rFonts w:hAnsi="Wingdings" w:hint="eastAsia"/>
          <w:sz w:val="21"/>
          <w:szCs w:val="21"/>
        </w:rPr>
        <w:t>（州の政治分断や最高裁の保守化の様子は別紙8～13をご参照）</w:t>
      </w:r>
      <w:r>
        <w:rPr>
          <w:rFonts w:hAnsi="Wingdings" w:hint="eastAsia"/>
          <w:sz w:val="21"/>
          <w:szCs w:val="21"/>
        </w:rPr>
        <w:t>。</w:t>
      </w:r>
    </w:p>
    <w:p w14:paraId="0E3ABD96" w14:textId="6506A4F0" w:rsidR="0098152C" w:rsidRDefault="0098152C" w:rsidP="005751FE">
      <w:pPr>
        <w:pStyle w:val="Default"/>
        <w:rPr>
          <w:rFonts w:hAnsi="Wingdings" w:hint="eastAsia"/>
          <w:sz w:val="21"/>
          <w:szCs w:val="21"/>
        </w:rPr>
      </w:pPr>
      <w:r>
        <w:rPr>
          <w:rFonts w:hAnsi="Wingdings" w:hint="eastAsia"/>
          <w:sz w:val="21"/>
          <w:szCs w:val="21"/>
        </w:rPr>
        <w:t>そうなると企業</w:t>
      </w:r>
      <w:r w:rsidR="00670641">
        <w:rPr>
          <w:rFonts w:hAnsi="Wingdings" w:hint="eastAsia"/>
          <w:sz w:val="21"/>
          <w:szCs w:val="21"/>
        </w:rPr>
        <w:t>経営者</w:t>
      </w:r>
      <w:r w:rsidR="009500C3">
        <w:rPr>
          <w:rFonts w:hAnsi="Wingdings" w:hint="eastAsia"/>
          <w:sz w:val="21"/>
          <w:szCs w:val="21"/>
        </w:rPr>
        <w:t>と共和党とシニアの</w:t>
      </w:r>
      <w:r w:rsidR="00670641">
        <w:rPr>
          <w:rFonts w:hAnsi="Wingdings" w:hint="eastAsia"/>
          <w:sz w:val="21"/>
          <w:szCs w:val="21"/>
        </w:rPr>
        <w:t>白人</w:t>
      </w:r>
      <w:r w:rsidR="009500C3">
        <w:rPr>
          <w:rFonts w:hAnsi="Wingdings" w:hint="eastAsia"/>
          <w:sz w:val="21"/>
          <w:szCs w:val="21"/>
        </w:rPr>
        <w:t>マジョリティの利益</w:t>
      </w:r>
      <w:r w:rsidR="00670641">
        <w:rPr>
          <w:rFonts w:hAnsi="Wingdings" w:hint="eastAsia"/>
          <w:sz w:val="21"/>
          <w:szCs w:val="21"/>
        </w:rPr>
        <w:t>が合致する。</w:t>
      </w:r>
    </w:p>
    <w:p w14:paraId="4AB71D47" w14:textId="2F8E6A79" w:rsidR="009500C3" w:rsidRDefault="00670641" w:rsidP="00670641">
      <w:pPr>
        <w:pStyle w:val="Default"/>
        <w:ind w:firstLineChars="100" w:firstLine="210"/>
        <w:rPr>
          <w:rFonts w:hAnsi="Wingdings" w:hint="eastAsia"/>
          <w:sz w:val="21"/>
          <w:szCs w:val="21"/>
        </w:rPr>
      </w:pPr>
      <w:r>
        <w:rPr>
          <w:rFonts w:hAnsi="Wingdings" w:hint="eastAsia"/>
          <w:sz w:val="21"/>
          <w:szCs w:val="21"/>
        </w:rPr>
        <w:t>一方、</w:t>
      </w:r>
      <w:r w:rsidR="009500C3">
        <w:rPr>
          <w:rFonts w:hAnsi="Wingdings" w:hint="eastAsia"/>
          <w:sz w:val="21"/>
          <w:szCs w:val="21"/>
        </w:rPr>
        <w:t>企業</w:t>
      </w:r>
      <w:r>
        <w:rPr>
          <w:rFonts w:hAnsi="Wingdings" w:hint="eastAsia"/>
          <w:sz w:val="21"/>
          <w:szCs w:val="21"/>
        </w:rPr>
        <w:t>の現場と将来</w:t>
      </w:r>
      <w:r w:rsidR="009500C3">
        <w:rPr>
          <w:rFonts w:hAnsi="Wingdings" w:hint="eastAsia"/>
          <w:sz w:val="21"/>
          <w:szCs w:val="21"/>
        </w:rPr>
        <w:t>を支える若年層と社会のマジョリティになる非白人層と民主党の利益</w:t>
      </w:r>
      <w:r>
        <w:rPr>
          <w:rFonts w:hAnsi="Wingdings" w:hint="eastAsia"/>
          <w:sz w:val="21"/>
          <w:szCs w:val="21"/>
        </w:rPr>
        <w:t>も大まかに合致する。</w:t>
      </w:r>
    </w:p>
    <w:p w14:paraId="7E14BF4F" w14:textId="5EB32D49" w:rsidR="00111415" w:rsidRPr="0019366E" w:rsidRDefault="00111415" w:rsidP="00670641">
      <w:pPr>
        <w:pStyle w:val="Default"/>
        <w:ind w:firstLineChars="100" w:firstLine="210"/>
        <w:rPr>
          <w:rFonts w:hAnsi="Wingdings" w:hint="eastAsia"/>
          <w:sz w:val="21"/>
          <w:szCs w:val="21"/>
        </w:rPr>
      </w:pPr>
      <w:r>
        <w:rPr>
          <w:rFonts w:hAnsi="Wingdings" w:hint="eastAsia"/>
          <w:sz w:val="21"/>
          <w:szCs w:val="21"/>
        </w:rPr>
        <w:t>世代と人種のほかに、性差</w:t>
      </w:r>
      <w:r w:rsidR="00670641">
        <w:rPr>
          <w:rFonts w:hAnsi="Wingdings" w:hint="eastAsia"/>
          <w:sz w:val="21"/>
          <w:szCs w:val="21"/>
        </w:rPr>
        <w:t>を含めた多様性はもともとアメリカの特徴であり、アメリカの人口動態の変化に応じ、その新たなニーズに応えていってこそ</w:t>
      </w:r>
      <w:r>
        <w:rPr>
          <w:rFonts w:hAnsi="Wingdings" w:hint="eastAsia"/>
          <w:sz w:val="21"/>
          <w:szCs w:val="21"/>
        </w:rPr>
        <w:t>企業価値</w:t>
      </w:r>
      <w:r w:rsidR="00670641">
        <w:rPr>
          <w:rFonts w:hAnsi="Wingdings" w:hint="eastAsia"/>
          <w:sz w:val="21"/>
          <w:szCs w:val="21"/>
        </w:rPr>
        <w:t>の向上が図られるのではないか。</w:t>
      </w:r>
    </w:p>
    <w:p w14:paraId="1D6DD1B8" w14:textId="5A7EE437" w:rsidR="00336104" w:rsidRDefault="00670641" w:rsidP="00670641">
      <w:pPr>
        <w:pStyle w:val="Default"/>
        <w:rPr>
          <w:rFonts w:hAnsi="Wingdings" w:hint="eastAsia"/>
          <w:sz w:val="21"/>
          <w:szCs w:val="21"/>
        </w:rPr>
      </w:pPr>
      <w:r>
        <w:rPr>
          <w:rFonts w:hAnsi="Wingdings" w:hint="eastAsia"/>
          <w:sz w:val="21"/>
          <w:szCs w:val="21"/>
        </w:rPr>
        <w:t>そして、社員という人的資本のニーズにも応え、モチベーションアップを図ることでリスクマネジメントはもとより、</w:t>
      </w:r>
      <w:r w:rsidR="00852537">
        <w:rPr>
          <w:rFonts w:hAnsi="Wingdings" w:hint="eastAsia"/>
          <w:sz w:val="21"/>
          <w:szCs w:val="21"/>
        </w:rPr>
        <w:t>若手</w:t>
      </w:r>
      <w:r>
        <w:rPr>
          <w:rFonts w:hAnsi="Wingdings" w:hint="eastAsia"/>
          <w:sz w:val="21"/>
          <w:szCs w:val="21"/>
        </w:rPr>
        <w:t>の「成長</w:t>
      </w:r>
      <w:r w:rsidR="00852537">
        <w:rPr>
          <w:rFonts w:hAnsi="Wingdings" w:hint="eastAsia"/>
          <w:sz w:val="21"/>
          <w:szCs w:val="21"/>
        </w:rPr>
        <w:t>欲求</w:t>
      </w:r>
      <w:r>
        <w:rPr>
          <w:rFonts w:hAnsi="Wingdings" w:hint="eastAsia"/>
          <w:sz w:val="21"/>
          <w:szCs w:val="21"/>
        </w:rPr>
        <w:t>」という潜在性を活か</w:t>
      </w:r>
      <w:r w:rsidR="00336104">
        <w:rPr>
          <w:rFonts w:hAnsi="Wingdings" w:hint="eastAsia"/>
          <w:sz w:val="21"/>
          <w:szCs w:val="21"/>
        </w:rPr>
        <w:t>し</w:t>
      </w:r>
      <w:r w:rsidR="002921BC">
        <w:rPr>
          <w:rFonts w:hAnsi="Wingdings" w:hint="eastAsia"/>
          <w:sz w:val="21"/>
          <w:szCs w:val="21"/>
        </w:rPr>
        <w:t>FX、DX、GXなどのハイテク</w:t>
      </w:r>
      <w:r w:rsidR="00336104">
        <w:rPr>
          <w:rFonts w:hAnsi="Wingdings" w:hint="eastAsia"/>
          <w:sz w:val="21"/>
          <w:szCs w:val="21"/>
        </w:rPr>
        <w:t>や新たなビジネスモデル、市場</w:t>
      </w:r>
      <w:r w:rsidR="002921BC">
        <w:rPr>
          <w:rFonts w:hAnsi="Wingdings" w:hint="eastAsia"/>
          <w:sz w:val="21"/>
          <w:szCs w:val="21"/>
        </w:rPr>
        <w:t>を生み出す</w:t>
      </w:r>
      <w:r w:rsidR="00336104">
        <w:rPr>
          <w:rFonts w:hAnsi="Wingdings" w:hint="eastAsia"/>
          <w:sz w:val="21"/>
          <w:szCs w:val="21"/>
        </w:rPr>
        <w:t xml:space="preserve">ことに企業価値向上がかかっていると考える。　</w:t>
      </w:r>
    </w:p>
    <w:p w14:paraId="711572C2" w14:textId="04523740" w:rsidR="002921BC" w:rsidRDefault="00852537" w:rsidP="00336104">
      <w:pPr>
        <w:pStyle w:val="Default"/>
        <w:ind w:firstLineChars="100" w:firstLine="210"/>
        <w:rPr>
          <w:rFonts w:hAnsi="Wingdings" w:hint="eastAsia"/>
          <w:sz w:val="21"/>
          <w:szCs w:val="21"/>
        </w:rPr>
      </w:pPr>
      <w:r>
        <w:rPr>
          <w:rFonts w:hAnsi="Wingdings" w:hint="eastAsia"/>
          <w:sz w:val="21"/>
          <w:szCs w:val="21"/>
        </w:rPr>
        <w:t>欧州に比べ遅れている</w:t>
      </w:r>
      <w:r w:rsidR="00336104">
        <w:rPr>
          <w:rFonts w:hAnsi="Wingdings" w:hint="eastAsia"/>
          <w:sz w:val="21"/>
          <w:szCs w:val="21"/>
        </w:rPr>
        <w:t>米企業の非財務情報開示も</w:t>
      </w:r>
      <w:r>
        <w:rPr>
          <w:rFonts w:hAnsi="Wingdings" w:hint="eastAsia"/>
          <w:sz w:val="21"/>
          <w:szCs w:val="21"/>
        </w:rPr>
        <w:t>、</w:t>
      </w:r>
      <w:r w:rsidR="00336104">
        <w:rPr>
          <w:rFonts w:hAnsi="Wingdings" w:hint="eastAsia"/>
          <w:sz w:val="21"/>
          <w:szCs w:val="21"/>
        </w:rPr>
        <w:t>当分の間、政治的プッシュと機関投資家のプルの影響を受けるのであろうが、外部環境と内部環境の変化を先取りし、</w:t>
      </w:r>
      <w:r>
        <w:rPr>
          <w:rFonts w:hAnsi="Wingdings" w:hint="eastAsia"/>
          <w:sz w:val="21"/>
          <w:szCs w:val="21"/>
        </w:rPr>
        <w:t>それに</w:t>
      </w:r>
      <w:r w:rsidR="00336104">
        <w:rPr>
          <w:rFonts w:hAnsi="Wingdings" w:hint="eastAsia"/>
          <w:sz w:val="21"/>
          <w:szCs w:val="21"/>
        </w:rPr>
        <w:t>対応</w:t>
      </w:r>
      <w:r>
        <w:rPr>
          <w:rFonts w:hAnsi="Wingdings" w:hint="eastAsia"/>
          <w:sz w:val="21"/>
          <w:szCs w:val="21"/>
        </w:rPr>
        <w:t>す</w:t>
      </w:r>
      <w:r w:rsidR="00336104">
        <w:rPr>
          <w:rFonts w:hAnsi="Wingdings" w:hint="eastAsia"/>
          <w:sz w:val="21"/>
          <w:szCs w:val="21"/>
        </w:rPr>
        <w:t>る経営の透明性、説明責任を積極的に果たすという情報開示姿勢が投資家はもとより、</w:t>
      </w:r>
      <w:r>
        <w:rPr>
          <w:rFonts w:hAnsi="Wingdings" w:hint="eastAsia"/>
          <w:sz w:val="21"/>
          <w:szCs w:val="21"/>
        </w:rPr>
        <w:t>社員、</w:t>
      </w:r>
      <w:r w:rsidR="00336104">
        <w:rPr>
          <w:rFonts w:hAnsi="Wingdings" w:hint="eastAsia"/>
          <w:sz w:val="21"/>
          <w:szCs w:val="21"/>
        </w:rPr>
        <w:t>消費者、優秀な求職者にとっても意味のあるものであると受け取られる方向に自然と進んでいくのかもしれない。</w:t>
      </w:r>
    </w:p>
    <w:p w14:paraId="2142737A" w14:textId="77777777" w:rsidR="0019366E" w:rsidRPr="0094081B" w:rsidRDefault="0019366E" w:rsidP="005751FE">
      <w:pPr>
        <w:pStyle w:val="Default"/>
        <w:rPr>
          <w:rFonts w:hAnsi="Wingdings" w:hint="eastAsia"/>
          <w:b/>
          <w:bCs/>
          <w:sz w:val="21"/>
          <w:szCs w:val="21"/>
        </w:rPr>
      </w:pPr>
    </w:p>
    <w:p w14:paraId="4B27C78E" w14:textId="77777777" w:rsidR="00604F8B" w:rsidRDefault="00604F8B" w:rsidP="008B65F6">
      <w:pPr>
        <w:pStyle w:val="ad"/>
        <w:rPr>
          <w:rFonts w:asciiTheme="minorEastAsia" w:hAnsiTheme="minorEastAsia"/>
          <w:szCs w:val="21"/>
        </w:rPr>
      </w:pPr>
    </w:p>
    <w:p w14:paraId="5D5B6DF5" w14:textId="51F8A6E7" w:rsidR="008B65F6" w:rsidRPr="00B129EE" w:rsidRDefault="008B65F6" w:rsidP="008B65F6">
      <w:pPr>
        <w:pStyle w:val="ad"/>
        <w:rPr>
          <w:rFonts w:asciiTheme="minorEastAsia" w:hAnsiTheme="minorEastAsia"/>
          <w:szCs w:val="21"/>
        </w:rPr>
      </w:pPr>
      <w:r w:rsidRPr="00B129EE">
        <w:rPr>
          <w:rFonts w:asciiTheme="minorEastAsia" w:hAnsiTheme="minorEastAsia" w:hint="eastAsia"/>
          <w:szCs w:val="21"/>
        </w:rPr>
        <w:t>以上</w:t>
      </w:r>
    </w:p>
    <w:p w14:paraId="7A60E176" w14:textId="77777777" w:rsidR="008B65F6" w:rsidRPr="00033BA5" w:rsidRDefault="008B65F6" w:rsidP="005751FE">
      <w:pPr>
        <w:pStyle w:val="Default"/>
        <w:rPr>
          <w:sz w:val="21"/>
          <w:szCs w:val="21"/>
        </w:rPr>
      </w:pPr>
    </w:p>
    <w:p w14:paraId="24EE5599" w14:textId="77777777" w:rsidR="007A3564" w:rsidRPr="00033BA5" w:rsidRDefault="007A3564" w:rsidP="005751FE">
      <w:pPr>
        <w:pStyle w:val="Default"/>
        <w:rPr>
          <w:sz w:val="21"/>
          <w:szCs w:val="21"/>
        </w:rPr>
      </w:pPr>
    </w:p>
    <w:p w14:paraId="5EDC860A" w14:textId="77777777" w:rsidR="007A3564" w:rsidRDefault="007A3564" w:rsidP="005751FE">
      <w:pPr>
        <w:pStyle w:val="Default"/>
        <w:rPr>
          <w:szCs w:val="21"/>
        </w:rPr>
      </w:pPr>
    </w:p>
    <w:p w14:paraId="573F205E" w14:textId="2BC98A4B" w:rsidR="007A3564" w:rsidRDefault="007A3564">
      <w:pPr>
        <w:widowControl/>
        <w:jc w:val="left"/>
        <w:rPr>
          <w:rFonts w:ascii="ＭＳ 明朝" w:eastAsia="ＭＳ 明朝" w:cs="ＭＳ 明朝"/>
          <w:color w:val="000000"/>
          <w:kern w:val="0"/>
          <w:sz w:val="24"/>
          <w:szCs w:val="21"/>
        </w:rPr>
      </w:pPr>
      <w:r>
        <w:rPr>
          <w:szCs w:val="21"/>
        </w:rPr>
        <w:br w:type="page"/>
      </w:r>
    </w:p>
    <w:p w14:paraId="2B6E19C5" w14:textId="41AB0D35" w:rsidR="00E837E8" w:rsidRPr="00F17FB5" w:rsidRDefault="007A3564" w:rsidP="00F17FB5">
      <w:pPr>
        <w:pStyle w:val="Default"/>
        <w:rPr>
          <w:sz w:val="21"/>
          <w:szCs w:val="21"/>
        </w:rPr>
      </w:pPr>
      <w:r w:rsidRPr="00F17FB5">
        <w:rPr>
          <w:rFonts w:hint="eastAsia"/>
          <w:b/>
          <w:bCs/>
          <w:sz w:val="21"/>
          <w:szCs w:val="21"/>
        </w:rPr>
        <w:lastRenderedPageBreak/>
        <w:t xml:space="preserve">別紙１　</w:t>
      </w:r>
      <w:r w:rsidR="00F17FB5" w:rsidRPr="00F17FB5">
        <w:rPr>
          <w:rFonts w:hint="eastAsia"/>
          <w:b/>
          <w:bCs/>
          <w:sz w:val="21"/>
          <w:szCs w:val="21"/>
        </w:rPr>
        <w:t>2010年と2020年の国勢調査結果比較</w:t>
      </w:r>
      <w:r w:rsidR="00F17FB5">
        <w:rPr>
          <w:b/>
          <w:bCs/>
          <w:sz w:val="21"/>
          <w:szCs w:val="21"/>
        </w:rPr>
        <w:tab/>
      </w:r>
      <w:r w:rsidR="00E837E8" w:rsidRPr="00F17FB5">
        <w:rPr>
          <w:rFonts w:hint="eastAsia"/>
          <w:b/>
          <w:sz w:val="21"/>
          <w:szCs w:val="21"/>
        </w:rPr>
        <w:t>ソース：</w:t>
      </w:r>
      <w:r w:rsidR="00234B65" w:rsidRPr="00F17FB5">
        <w:rPr>
          <w:rFonts w:hint="eastAsia"/>
          <w:b/>
          <w:sz w:val="21"/>
          <w:szCs w:val="21"/>
        </w:rPr>
        <w:t>Census Bureau</w:t>
      </w:r>
    </w:p>
    <w:p w14:paraId="76D95A4A" w14:textId="57232A1C" w:rsidR="00F17FB5" w:rsidRPr="00F17FB5" w:rsidRDefault="00056BCD" w:rsidP="00E837E8">
      <w:pPr>
        <w:pStyle w:val="Default"/>
        <w:rPr>
          <w:szCs w:val="21"/>
        </w:rPr>
      </w:pPr>
      <w:r>
        <w:rPr>
          <w:noProof/>
        </w:rPr>
        <w:drawing>
          <wp:inline distT="0" distB="0" distL="0" distR="0" wp14:anchorId="333C296E" wp14:editId="5FBFAB80">
            <wp:extent cx="5973207" cy="3680460"/>
            <wp:effectExtent l="0" t="0" r="8890" b="0"/>
            <wp:docPr id="1242893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93458" name=""/>
                    <pic:cNvPicPr/>
                  </pic:nvPicPr>
                  <pic:blipFill rotWithShape="1">
                    <a:blip r:embed="rId8"/>
                    <a:srcRect l="35278" t="32609" r="8843" b="6187"/>
                    <a:stretch/>
                  </pic:blipFill>
                  <pic:spPr bwMode="auto">
                    <a:xfrm>
                      <a:off x="0" y="0"/>
                      <a:ext cx="6005747" cy="3700510"/>
                    </a:xfrm>
                    <a:prstGeom prst="rect">
                      <a:avLst/>
                    </a:prstGeom>
                    <a:ln>
                      <a:noFill/>
                    </a:ln>
                    <a:extLst>
                      <a:ext uri="{53640926-AAD7-44D8-BBD7-CCE9431645EC}">
                        <a14:shadowObscured xmlns:a14="http://schemas.microsoft.com/office/drawing/2010/main"/>
                      </a:ext>
                    </a:extLst>
                  </pic:spPr>
                </pic:pic>
              </a:graphicData>
            </a:graphic>
          </wp:inline>
        </w:drawing>
      </w:r>
    </w:p>
    <w:p w14:paraId="63919F54" w14:textId="7B13617D" w:rsidR="00F17FB5" w:rsidRPr="00F17FB5" w:rsidRDefault="00F17FB5" w:rsidP="00E837E8">
      <w:pPr>
        <w:pStyle w:val="Default"/>
        <w:rPr>
          <w:b/>
          <w:bCs/>
          <w:noProof/>
          <w:sz w:val="21"/>
          <w:szCs w:val="21"/>
        </w:rPr>
      </w:pPr>
      <w:r w:rsidRPr="00F17FB5">
        <w:rPr>
          <w:rFonts w:hint="eastAsia"/>
          <w:b/>
          <w:bCs/>
          <w:noProof/>
          <w:sz w:val="21"/>
          <w:szCs w:val="21"/>
        </w:rPr>
        <w:t>別表２　国勢調査局の2020年時点の州別多様性調査結果</w:t>
      </w:r>
      <w:r w:rsidR="00056BCD" w:rsidRPr="00F17FB5">
        <w:rPr>
          <w:b/>
          <w:bCs/>
          <w:noProof/>
          <w:sz w:val="21"/>
          <w:szCs w:val="21"/>
        </w:rPr>
        <w:t xml:space="preserve"> </w:t>
      </w:r>
      <w:r>
        <w:rPr>
          <w:rFonts w:hint="eastAsia"/>
          <w:b/>
          <w:bCs/>
          <w:noProof/>
          <w:sz w:val="21"/>
          <w:szCs w:val="21"/>
        </w:rPr>
        <w:t xml:space="preserve">　</w:t>
      </w:r>
      <w:r w:rsidRPr="00F17FB5">
        <w:rPr>
          <w:rFonts w:hint="eastAsia"/>
          <w:b/>
          <w:sz w:val="21"/>
          <w:szCs w:val="21"/>
        </w:rPr>
        <w:t>ソース：Census Bureau</w:t>
      </w:r>
    </w:p>
    <w:p w14:paraId="0B467502" w14:textId="31C2AEDE" w:rsidR="00F17FB5" w:rsidRDefault="00F17FB5" w:rsidP="00E837E8">
      <w:pPr>
        <w:pStyle w:val="Default"/>
        <w:rPr>
          <w:noProof/>
        </w:rPr>
      </w:pPr>
      <w:r>
        <w:rPr>
          <w:noProof/>
        </w:rPr>
        <w:drawing>
          <wp:inline distT="0" distB="0" distL="0" distR="0" wp14:anchorId="14BB3625" wp14:editId="7ED73CA5">
            <wp:extent cx="5760720" cy="3877791"/>
            <wp:effectExtent l="0" t="0" r="0" b="8890"/>
            <wp:docPr id="105607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494" name=""/>
                    <pic:cNvPicPr/>
                  </pic:nvPicPr>
                  <pic:blipFill rotWithShape="1">
                    <a:blip r:embed="rId9"/>
                    <a:srcRect l="19896" t="12793" r="28880" b="25911"/>
                    <a:stretch/>
                  </pic:blipFill>
                  <pic:spPr bwMode="auto">
                    <a:xfrm>
                      <a:off x="0" y="0"/>
                      <a:ext cx="5782531" cy="3892473"/>
                    </a:xfrm>
                    <a:prstGeom prst="rect">
                      <a:avLst/>
                    </a:prstGeom>
                    <a:ln>
                      <a:noFill/>
                    </a:ln>
                    <a:extLst>
                      <a:ext uri="{53640926-AAD7-44D8-BBD7-CCE9431645EC}">
                        <a14:shadowObscured xmlns:a14="http://schemas.microsoft.com/office/drawing/2010/main"/>
                      </a:ext>
                    </a:extLst>
                  </pic:spPr>
                </pic:pic>
              </a:graphicData>
            </a:graphic>
          </wp:inline>
        </w:drawing>
      </w:r>
    </w:p>
    <w:p w14:paraId="5C677969" w14:textId="42602A9B" w:rsidR="00056BCD" w:rsidRDefault="00F17FB5" w:rsidP="00F17FB5">
      <w:pPr>
        <w:pStyle w:val="Default"/>
        <w:rPr>
          <w:b/>
          <w:bCs/>
          <w:noProof/>
          <w:sz w:val="21"/>
          <w:szCs w:val="21"/>
        </w:rPr>
      </w:pPr>
      <w:r w:rsidRPr="000F5202">
        <w:rPr>
          <w:rFonts w:hint="eastAsia"/>
          <w:b/>
          <w:bCs/>
          <w:noProof/>
          <w:sz w:val="21"/>
          <w:szCs w:val="21"/>
        </w:rPr>
        <w:lastRenderedPageBreak/>
        <w:t xml:space="preserve">別紙３　</w:t>
      </w:r>
      <w:r w:rsidR="000F5202" w:rsidRPr="000F5202">
        <w:rPr>
          <w:rFonts w:hint="eastAsia"/>
          <w:b/>
          <w:bCs/>
          <w:noProof/>
          <w:sz w:val="21"/>
          <w:szCs w:val="21"/>
        </w:rPr>
        <w:t>2045年時点の米国の人種別構成予想　　ソース：　ブルッキングス研究所</w:t>
      </w:r>
      <w:r w:rsidR="00056BCD">
        <w:rPr>
          <w:noProof/>
        </w:rPr>
        <w:drawing>
          <wp:inline distT="0" distB="0" distL="0" distR="0" wp14:anchorId="53ABDBC2" wp14:editId="023ECCDF">
            <wp:extent cx="5204460" cy="3855609"/>
            <wp:effectExtent l="0" t="0" r="0" b="0"/>
            <wp:docPr id="707409624" name="図 1" descr="Racial profile of U.S. population, 2045 - Br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ial profile of U.S. population, 2045 - Brookings"/>
                    <pic:cNvPicPr>
                      <a:picLocks noChangeAspect="1" noChangeArrowheads="1"/>
                    </pic:cNvPicPr>
                  </pic:nvPicPr>
                  <pic:blipFill rotWithShape="1">
                    <a:blip r:embed="rId10">
                      <a:extLst>
                        <a:ext uri="{28A0092B-C50C-407E-A947-70E740481C1C}">
                          <a14:useLocalDpi xmlns:a14="http://schemas.microsoft.com/office/drawing/2010/main" val="0"/>
                        </a:ext>
                      </a:extLst>
                    </a:blip>
                    <a:srcRect t="7383" b="13511"/>
                    <a:stretch/>
                  </pic:blipFill>
                  <pic:spPr bwMode="auto">
                    <a:xfrm>
                      <a:off x="0" y="0"/>
                      <a:ext cx="5213272" cy="3862137"/>
                    </a:xfrm>
                    <a:prstGeom prst="rect">
                      <a:avLst/>
                    </a:prstGeom>
                    <a:noFill/>
                    <a:ln>
                      <a:noFill/>
                    </a:ln>
                    <a:extLst>
                      <a:ext uri="{53640926-AAD7-44D8-BBD7-CCE9431645EC}">
                        <a14:shadowObscured xmlns:a14="http://schemas.microsoft.com/office/drawing/2010/main"/>
                      </a:ext>
                    </a:extLst>
                  </pic:spPr>
                </pic:pic>
              </a:graphicData>
            </a:graphic>
          </wp:inline>
        </w:drawing>
      </w:r>
    </w:p>
    <w:p w14:paraId="41CC2CBD" w14:textId="77777777" w:rsidR="000F5202" w:rsidRDefault="000F5202" w:rsidP="00F17FB5">
      <w:pPr>
        <w:pStyle w:val="Default"/>
        <w:rPr>
          <w:szCs w:val="21"/>
        </w:rPr>
      </w:pPr>
    </w:p>
    <w:p w14:paraId="0AFB2754" w14:textId="03515478" w:rsidR="00FC0E40" w:rsidRDefault="000F5202" w:rsidP="00E837E8">
      <w:pPr>
        <w:pStyle w:val="Default"/>
        <w:rPr>
          <w:szCs w:val="21"/>
        </w:rPr>
      </w:pPr>
      <w:r w:rsidRPr="000F5202">
        <w:rPr>
          <w:rFonts w:hint="eastAsia"/>
          <w:b/>
          <w:bCs/>
          <w:noProof/>
          <w:sz w:val="21"/>
          <w:szCs w:val="21"/>
        </w:rPr>
        <w:t>別紙</w:t>
      </w:r>
      <w:r w:rsidR="00B7705D">
        <w:rPr>
          <w:rFonts w:hint="eastAsia"/>
          <w:b/>
          <w:bCs/>
          <w:noProof/>
          <w:sz w:val="21"/>
          <w:szCs w:val="21"/>
        </w:rPr>
        <w:t>４</w:t>
      </w:r>
      <w:r w:rsidRPr="000F5202">
        <w:rPr>
          <w:rFonts w:hint="eastAsia"/>
          <w:b/>
          <w:bCs/>
          <w:noProof/>
          <w:sz w:val="21"/>
          <w:szCs w:val="21"/>
        </w:rPr>
        <w:t xml:space="preserve">　20</w:t>
      </w:r>
      <w:r w:rsidR="00B7705D">
        <w:rPr>
          <w:rFonts w:hint="eastAsia"/>
          <w:b/>
          <w:bCs/>
          <w:noProof/>
          <w:sz w:val="21"/>
          <w:szCs w:val="21"/>
        </w:rPr>
        <w:t>60年まで</w:t>
      </w:r>
      <w:r w:rsidRPr="000F5202">
        <w:rPr>
          <w:rFonts w:hint="eastAsia"/>
          <w:b/>
          <w:bCs/>
          <w:noProof/>
          <w:sz w:val="21"/>
          <w:szCs w:val="21"/>
        </w:rPr>
        <w:t>の米国の人種別</w:t>
      </w:r>
      <w:r w:rsidR="00B7705D">
        <w:rPr>
          <w:rFonts w:hint="eastAsia"/>
          <w:b/>
          <w:bCs/>
          <w:noProof/>
          <w:sz w:val="21"/>
          <w:szCs w:val="21"/>
        </w:rPr>
        <w:t>人口増加率予想</w:t>
      </w:r>
      <w:r w:rsidRPr="000F5202">
        <w:rPr>
          <w:rFonts w:hint="eastAsia"/>
          <w:b/>
          <w:bCs/>
          <w:noProof/>
          <w:sz w:val="21"/>
          <w:szCs w:val="21"/>
        </w:rPr>
        <w:t xml:space="preserve">　　ソース：　ブルッキングス研究所</w:t>
      </w:r>
    </w:p>
    <w:p w14:paraId="0E58437C" w14:textId="77777777" w:rsidR="00B7705D" w:rsidRDefault="00FC0E40" w:rsidP="00E837E8">
      <w:pPr>
        <w:pStyle w:val="Default"/>
      </w:pPr>
      <w:r>
        <w:rPr>
          <w:noProof/>
        </w:rPr>
        <w:drawing>
          <wp:inline distT="0" distB="0" distL="0" distR="0" wp14:anchorId="24063AFB" wp14:editId="3CA8A893">
            <wp:extent cx="5303520" cy="3479967"/>
            <wp:effectExtent l="0" t="0" r="0" b="6350"/>
            <wp:docPr id="537690188" name="図 2" descr="Annual growth of total, minority, and white populations in the United States - Br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al growth of total, minority, and white populations in the United States - Brookings"/>
                    <pic:cNvPicPr>
                      <a:picLocks noChangeAspect="1" noChangeArrowheads="1"/>
                    </pic:cNvPicPr>
                  </pic:nvPicPr>
                  <pic:blipFill rotWithShape="1">
                    <a:blip r:embed="rId11">
                      <a:extLst>
                        <a:ext uri="{28A0092B-C50C-407E-A947-70E740481C1C}">
                          <a14:useLocalDpi xmlns:a14="http://schemas.microsoft.com/office/drawing/2010/main" val="0"/>
                        </a:ext>
                      </a:extLst>
                    </a:blip>
                    <a:srcRect t="8578" b="16159"/>
                    <a:stretch/>
                  </pic:blipFill>
                  <pic:spPr bwMode="auto">
                    <a:xfrm>
                      <a:off x="0" y="0"/>
                      <a:ext cx="5306597" cy="3481986"/>
                    </a:xfrm>
                    <a:prstGeom prst="rect">
                      <a:avLst/>
                    </a:prstGeom>
                    <a:noFill/>
                    <a:ln>
                      <a:noFill/>
                    </a:ln>
                    <a:extLst>
                      <a:ext uri="{53640926-AAD7-44D8-BBD7-CCE9431645EC}">
                        <a14:shadowObscured xmlns:a14="http://schemas.microsoft.com/office/drawing/2010/main"/>
                      </a:ext>
                    </a:extLst>
                  </pic:spPr>
                </pic:pic>
              </a:graphicData>
            </a:graphic>
          </wp:inline>
        </w:drawing>
      </w:r>
      <w:r w:rsidRPr="00FC0E40">
        <w:t xml:space="preserve"> </w:t>
      </w:r>
    </w:p>
    <w:p w14:paraId="2B5393B0" w14:textId="77777777" w:rsidR="00B7705D" w:rsidRDefault="00B7705D" w:rsidP="00E837E8">
      <w:pPr>
        <w:pStyle w:val="Default"/>
      </w:pPr>
      <w:r w:rsidRPr="000F5202">
        <w:rPr>
          <w:rFonts w:hint="eastAsia"/>
          <w:b/>
          <w:bCs/>
          <w:noProof/>
          <w:sz w:val="21"/>
          <w:szCs w:val="21"/>
        </w:rPr>
        <w:lastRenderedPageBreak/>
        <w:t>別紙</w:t>
      </w:r>
      <w:r>
        <w:rPr>
          <w:rFonts w:hint="eastAsia"/>
          <w:b/>
          <w:bCs/>
          <w:noProof/>
          <w:sz w:val="21"/>
          <w:szCs w:val="21"/>
        </w:rPr>
        <w:t>５</w:t>
      </w:r>
      <w:r w:rsidRPr="000F5202">
        <w:rPr>
          <w:rFonts w:hint="eastAsia"/>
          <w:b/>
          <w:bCs/>
          <w:noProof/>
          <w:sz w:val="21"/>
          <w:szCs w:val="21"/>
        </w:rPr>
        <w:t xml:space="preserve">　</w:t>
      </w:r>
      <w:r>
        <w:rPr>
          <w:rFonts w:hint="eastAsia"/>
          <w:b/>
          <w:bCs/>
          <w:noProof/>
          <w:sz w:val="21"/>
          <w:szCs w:val="21"/>
        </w:rPr>
        <w:t>白人が少数派となる時点の世代別</w:t>
      </w:r>
      <w:r w:rsidRPr="000F5202">
        <w:rPr>
          <w:rFonts w:hint="eastAsia"/>
          <w:b/>
          <w:bCs/>
          <w:noProof/>
          <w:sz w:val="21"/>
          <w:szCs w:val="21"/>
        </w:rPr>
        <w:t>予想　　ソース：　ブルッキングス研究所</w:t>
      </w:r>
      <w:r w:rsidR="00FC0E40">
        <w:rPr>
          <w:noProof/>
        </w:rPr>
        <w:drawing>
          <wp:inline distT="0" distB="0" distL="0" distR="0" wp14:anchorId="339A27FB" wp14:editId="4C0E6AD9">
            <wp:extent cx="5189220" cy="3353710"/>
            <wp:effectExtent l="0" t="0" r="0" b="0"/>
            <wp:docPr id="1489363858" name="図 3" descr="Year when whites become minority by age group in the United States - Br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ar when whites become minority by age group in the United States - Brookings"/>
                    <pic:cNvPicPr>
                      <a:picLocks noChangeAspect="1" noChangeArrowheads="1"/>
                    </pic:cNvPicPr>
                  </pic:nvPicPr>
                  <pic:blipFill rotWithShape="1">
                    <a:blip r:embed="rId12">
                      <a:extLst>
                        <a:ext uri="{28A0092B-C50C-407E-A947-70E740481C1C}">
                          <a14:useLocalDpi xmlns:a14="http://schemas.microsoft.com/office/drawing/2010/main" val="0"/>
                        </a:ext>
                      </a:extLst>
                    </a:blip>
                    <a:srcRect t="9032" b="17108"/>
                    <a:stretch/>
                  </pic:blipFill>
                  <pic:spPr bwMode="auto">
                    <a:xfrm>
                      <a:off x="0" y="0"/>
                      <a:ext cx="5195933" cy="3358048"/>
                    </a:xfrm>
                    <a:prstGeom prst="rect">
                      <a:avLst/>
                    </a:prstGeom>
                    <a:noFill/>
                    <a:ln>
                      <a:noFill/>
                    </a:ln>
                    <a:extLst>
                      <a:ext uri="{53640926-AAD7-44D8-BBD7-CCE9431645EC}">
                        <a14:shadowObscured xmlns:a14="http://schemas.microsoft.com/office/drawing/2010/main"/>
                      </a:ext>
                    </a:extLst>
                  </pic:spPr>
                </pic:pic>
              </a:graphicData>
            </a:graphic>
          </wp:inline>
        </w:drawing>
      </w:r>
      <w:r w:rsidR="00FC0E40" w:rsidRPr="00FC0E40">
        <w:t xml:space="preserve"> </w:t>
      </w:r>
    </w:p>
    <w:p w14:paraId="3449649A" w14:textId="77777777" w:rsidR="00B7705D" w:rsidRDefault="00B7705D" w:rsidP="00E837E8">
      <w:pPr>
        <w:pStyle w:val="Default"/>
      </w:pPr>
    </w:p>
    <w:p w14:paraId="2E455824" w14:textId="2A312320" w:rsidR="00B7705D" w:rsidRDefault="00B7705D" w:rsidP="00E837E8">
      <w:pPr>
        <w:pStyle w:val="Default"/>
      </w:pPr>
      <w:r w:rsidRPr="000F5202">
        <w:rPr>
          <w:rFonts w:hint="eastAsia"/>
          <w:b/>
          <w:bCs/>
          <w:noProof/>
          <w:sz w:val="21"/>
          <w:szCs w:val="21"/>
        </w:rPr>
        <w:t>別紙</w:t>
      </w:r>
      <w:r>
        <w:rPr>
          <w:rFonts w:hint="eastAsia"/>
          <w:b/>
          <w:bCs/>
          <w:noProof/>
          <w:sz w:val="21"/>
          <w:szCs w:val="21"/>
        </w:rPr>
        <w:t>６</w:t>
      </w:r>
      <w:r w:rsidRPr="000F5202">
        <w:rPr>
          <w:rFonts w:hint="eastAsia"/>
          <w:b/>
          <w:bCs/>
          <w:noProof/>
          <w:sz w:val="21"/>
          <w:szCs w:val="21"/>
        </w:rPr>
        <w:t xml:space="preserve">　20</w:t>
      </w:r>
      <w:r>
        <w:rPr>
          <w:rFonts w:hint="eastAsia"/>
          <w:b/>
          <w:bCs/>
          <w:noProof/>
          <w:sz w:val="21"/>
          <w:szCs w:val="21"/>
        </w:rPr>
        <w:t>18年と2060年の</w:t>
      </w:r>
      <w:r w:rsidRPr="000F5202">
        <w:rPr>
          <w:rFonts w:hint="eastAsia"/>
          <w:b/>
          <w:bCs/>
          <w:noProof/>
          <w:sz w:val="21"/>
          <w:szCs w:val="21"/>
        </w:rPr>
        <w:t>米国の人種別構成予想</w:t>
      </w:r>
      <w:r>
        <w:rPr>
          <w:rFonts w:hint="eastAsia"/>
          <w:b/>
          <w:bCs/>
          <w:noProof/>
          <w:sz w:val="21"/>
          <w:szCs w:val="21"/>
        </w:rPr>
        <w:t>比較</w:t>
      </w:r>
      <w:r w:rsidRPr="000F5202">
        <w:rPr>
          <w:rFonts w:hint="eastAsia"/>
          <w:b/>
          <w:bCs/>
          <w:noProof/>
          <w:sz w:val="21"/>
          <w:szCs w:val="21"/>
        </w:rPr>
        <w:t xml:space="preserve">　ソース：　ブルッキングス研究所</w:t>
      </w:r>
    </w:p>
    <w:p w14:paraId="57BC4B60" w14:textId="40559517" w:rsidR="00FC0E40" w:rsidRDefault="00FC0E40" w:rsidP="00E837E8">
      <w:pPr>
        <w:pStyle w:val="Default"/>
        <w:rPr>
          <w:szCs w:val="21"/>
        </w:rPr>
      </w:pPr>
      <w:r>
        <w:rPr>
          <w:noProof/>
        </w:rPr>
        <w:drawing>
          <wp:inline distT="0" distB="0" distL="0" distR="0" wp14:anchorId="643ED5A7" wp14:editId="482B5BAB">
            <wp:extent cx="5400040" cy="4099560"/>
            <wp:effectExtent l="0" t="0" r="0" b="0"/>
            <wp:docPr id="768623492" name="図 4" descr="United States ethnic profiles, 2018 and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States ethnic profiles, 2018 and 2060"/>
                    <pic:cNvPicPr>
                      <a:picLocks noChangeAspect="1" noChangeArrowheads="1"/>
                    </pic:cNvPicPr>
                  </pic:nvPicPr>
                  <pic:blipFill rotWithShape="1">
                    <a:blip r:embed="rId13">
                      <a:extLst>
                        <a:ext uri="{28A0092B-C50C-407E-A947-70E740481C1C}">
                          <a14:useLocalDpi xmlns:a14="http://schemas.microsoft.com/office/drawing/2010/main" val="0"/>
                        </a:ext>
                      </a:extLst>
                    </a:blip>
                    <a:srcRect t="7206" b="15263"/>
                    <a:stretch/>
                  </pic:blipFill>
                  <pic:spPr bwMode="auto">
                    <a:xfrm>
                      <a:off x="0" y="0"/>
                      <a:ext cx="5400040" cy="4099560"/>
                    </a:xfrm>
                    <a:prstGeom prst="rect">
                      <a:avLst/>
                    </a:prstGeom>
                    <a:noFill/>
                    <a:ln>
                      <a:noFill/>
                    </a:ln>
                    <a:extLst>
                      <a:ext uri="{53640926-AAD7-44D8-BBD7-CCE9431645EC}">
                        <a14:shadowObscured xmlns:a14="http://schemas.microsoft.com/office/drawing/2010/main"/>
                      </a:ext>
                    </a:extLst>
                  </pic:spPr>
                </pic:pic>
              </a:graphicData>
            </a:graphic>
          </wp:inline>
        </w:drawing>
      </w:r>
    </w:p>
    <w:p w14:paraId="4DD851FE" w14:textId="2EE0EEAC" w:rsidR="00B7705D" w:rsidRDefault="00B7705D" w:rsidP="00B7705D">
      <w:pPr>
        <w:rPr>
          <w:b/>
          <w:bCs/>
        </w:rPr>
      </w:pPr>
      <w:r w:rsidRPr="000F5202">
        <w:rPr>
          <w:rFonts w:hint="eastAsia"/>
          <w:b/>
          <w:bCs/>
          <w:noProof/>
          <w:szCs w:val="21"/>
        </w:rPr>
        <w:lastRenderedPageBreak/>
        <w:t>別紙</w:t>
      </w:r>
      <w:r>
        <w:rPr>
          <w:rFonts w:hint="eastAsia"/>
          <w:b/>
          <w:bCs/>
          <w:noProof/>
          <w:szCs w:val="21"/>
        </w:rPr>
        <w:t xml:space="preserve">７　</w:t>
      </w:r>
      <w:r w:rsidRPr="009421AD">
        <w:rPr>
          <w:rFonts w:hint="eastAsia"/>
          <w:b/>
          <w:bCs/>
        </w:rPr>
        <w:t>20</w:t>
      </w:r>
      <w:r>
        <w:rPr>
          <w:b/>
          <w:bCs/>
        </w:rPr>
        <w:t>21</w:t>
      </w:r>
      <w:r w:rsidRPr="009421AD">
        <w:rPr>
          <w:rFonts w:hint="eastAsia"/>
          <w:b/>
          <w:bCs/>
        </w:rPr>
        <w:t>年版マッキンゼーレポート</w:t>
      </w:r>
      <w:r>
        <w:rPr>
          <w:rFonts w:hint="eastAsia"/>
          <w:b/>
          <w:bCs/>
        </w:rPr>
        <w:t>『</w:t>
      </w:r>
      <w:r w:rsidRPr="009421AD">
        <w:rPr>
          <w:b/>
          <w:bCs/>
        </w:rPr>
        <w:t>Diversity</w:t>
      </w:r>
      <w:r>
        <w:rPr>
          <w:b/>
          <w:bCs/>
        </w:rPr>
        <w:t xml:space="preserve"> wins: How inclusion matters</w:t>
      </w:r>
      <w:r>
        <w:rPr>
          <w:rFonts w:hint="eastAsia"/>
          <w:b/>
          <w:bCs/>
        </w:rPr>
        <w:t>』抜粋</w:t>
      </w:r>
    </w:p>
    <w:p w14:paraId="29F4B174" w14:textId="77777777" w:rsidR="00272376" w:rsidRDefault="00272376" w:rsidP="00CE2F06">
      <w:pPr>
        <w:rPr>
          <w:b/>
          <w:bCs/>
        </w:rPr>
      </w:pPr>
    </w:p>
    <w:p w14:paraId="6ED5144A" w14:textId="256EE284" w:rsidR="00CE2F06" w:rsidRDefault="00CE2F06" w:rsidP="00CE2F06">
      <w:r>
        <w:rPr>
          <w:rFonts w:hint="eastAsia"/>
          <w:b/>
          <w:bCs/>
        </w:rPr>
        <w:t>経営陣の多様性と業績の相関関係調査結果および多様性と包摂を重視して</w:t>
      </w:r>
      <w:r w:rsidR="00272376">
        <w:rPr>
          <w:rFonts w:hint="eastAsia"/>
          <w:b/>
          <w:bCs/>
        </w:rPr>
        <w:t>業績を高めている企業の事例</w:t>
      </w:r>
    </w:p>
    <w:p w14:paraId="7F783FF5" w14:textId="77777777" w:rsidR="00CE2F06" w:rsidRDefault="00CE2F06" w:rsidP="00CE2F06">
      <w:r>
        <w:rPr>
          <w:noProof/>
        </w:rPr>
        <w:drawing>
          <wp:inline distT="0" distB="0" distL="0" distR="0" wp14:anchorId="7768729A" wp14:editId="7D0181BE">
            <wp:extent cx="5410200" cy="7197711"/>
            <wp:effectExtent l="0" t="0" r="0" b="3810"/>
            <wp:docPr id="213534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4617" name=""/>
                    <pic:cNvPicPr/>
                  </pic:nvPicPr>
                  <pic:blipFill rotWithShape="1">
                    <a:blip r:embed="rId14"/>
                    <a:srcRect l="41910" t="18813" r="26058" b="5435"/>
                    <a:stretch/>
                  </pic:blipFill>
                  <pic:spPr bwMode="auto">
                    <a:xfrm>
                      <a:off x="0" y="0"/>
                      <a:ext cx="5438314" cy="7235113"/>
                    </a:xfrm>
                    <a:prstGeom prst="rect">
                      <a:avLst/>
                    </a:prstGeom>
                    <a:ln>
                      <a:noFill/>
                    </a:ln>
                    <a:extLst>
                      <a:ext uri="{53640926-AAD7-44D8-BBD7-CCE9431645EC}">
                        <a14:shadowObscured xmlns:a14="http://schemas.microsoft.com/office/drawing/2010/main"/>
                      </a:ext>
                    </a:extLst>
                  </pic:spPr>
                </pic:pic>
              </a:graphicData>
            </a:graphic>
          </wp:inline>
        </w:drawing>
      </w:r>
    </w:p>
    <w:p w14:paraId="433A9B8E" w14:textId="77777777" w:rsidR="00CE2F06" w:rsidRDefault="00CE2F06" w:rsidP="00CE2F06">
      <w:r>
        <w:rPr>
          <w:noProof/>
        </w:rPr>
        <w:lastRenderedPageBreak/>
        <w:drawing>
          <wp:inline distT="0" distB="0" distL="0" distR="0" wp14:anchorId="3DDB4358" wp14:editId="1FB36169">
            <wp:extent cx="5417820" cy="8191228"/>
            <wp:effectExtent l="0" t="0" r="0" b="635"/>
            <wp:docPr id="2060141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41033" name=""/>
                    <pic:cNvPicPr/>
                  </pic:nvPicPr>
                  <pic:blipFill rotWithShape="1">
                    <a:blip r:embed="rId15"/>
                    <a:srcRect l="47977" t="29599" r="28316" b="6688"/>
                    <a:stretch/>
                  </pic:blipFill>
                  <pic:spPr bwMode="auto">
                    <a:xfrm>
                      <a:off x="0" y="0"/>
                      <a:ext cx="5431336" cy="8211663"/>
                    </a:xfrm>
                    <a:prstGeom prst="rect">
                      <a:avLst/>
                    </a:prstGeom>
                    <a:ln>
                      <a:noFill/>
                    </a:ln>
                    <a:extLst>
                      <a:ext uri="{53640926-AAD7-44D8-BBD7-CCE9431645EC}">
                        <a14:shadowObscured xmlns:a14="http://schemas.microsoft.com/office/drawing/2010/main"/>
                      </a:ext>
                    </a:extLst>
                  </pic:spPr>
                </pic:pic>
              </a:graphicData>
            </a:graphic>
          </wp:inline>
        </w:drawing>
      </w:r>
    </w:p>
    <w:p w14:paraId="3A6E72AC" w14:textId="31846F37" w:rsidR="00CE2F06" w:rsidRPr="00CE2F06" w:rsidRDefault="00CE2F06" w:rsidP="00CE2F06">
      <w:pPr>
        <w:rPr>
          <w:b/>
          <w:bCs/>
        </w:rPr>
      </w:pPr>
      <w:r w:rsidRPr="00CE2F06">
        <w:rPr>
          <w:rFonts w:hint="eastAsia"/>
          <w:b/>
          <w:bCs/>
        </w:rPr>
        <w:lastRenderedPageBreak/>
        <w:t>ダイバーシティと包摂を生かして業績を</w:t>
      </w:r>
      <w:r w:rsidR="00272376">
        <w:rPr>
          <w:rFonts w:hint="eastAsia"/>
          <w:b/>
          <w:bCs/>
        </w:rPr>
        <w:t>高めている</w:t>
      </w:r>
      <w:r w:rsidRPr="00CE2F06">
        <w:rPr>
          <w:rFonts w:hint="eastAsia"/>
          <w:b/>
          <w:bCs/>
        </w:rPr>
        <w:t>企業</w:t>
      </w:r>
      <w:r w:rsidR="00272376">
        <w:rPr>
          <w:rFonts w:hint="eastAsia"/>
          <w:b/>
          <w:bCs/>
        </w:rPr>
        <w:t>の事例</w:t>
      </w:r>
    </w:p>
    <w:p w14:paraId="1C14BE6B" w14:textId="77777777" w:rsidR="00CE2F06" w:rsidRDefault="00CE2F06" w:rsidP="00CE2F06"/>
    <w:p w14:paraId="3A321364" w14:textId="77777777" w:rsidR="00CE2F06" w:rsidRPr="008329CC" w:rsidRDefault="00CE2F06" w:rsidP="00CE2F06">
      <w:pPr>
        <w:rPr>
          <w:b/>
          <w:bCs/>
        </w:rPr>
      </w:pPr>
      <w:r>
        <w:rPr>
          <w:b/>
          <w:bCs/>
        </w:rPr>
        <w:t>Lockheed Martin</w:t>
      </w:r>
      <w:r>
        <w:rPr>
          <w:rFonts w:hint="eastAsia"/>
          <w:b/>
          <w:bCs/>
        </w:rPr>
        <w:t>社における包摂のための障壁撤廃運動</w:t>
      </w:r>
    </w:p>
    <w:p w14:paraId="2E1EB42D" w14:textId="77777777" w:rsidR="00CE2F06" w:rsidRDefault="00CE2F06" w:rsidP="00CE2F06">
      <w:r>
        <w:rPr>
          <w:rFonts w:hint="eastAsia"/>
        </w:rPr>
        <w:t>Lockheed Martin</w:t>
      </w:r>
      <w:r>
        <w:rPr>
          <w:rFonts w:hint="eastAsia"/>
        </w:rPr>
        <w:t>は</w:t>
      </w:r>
      <w:r>
        <w:rPr>
          <w:rFonts w:hint="eastAsia"/>
        </w:rPr>
        <w:t>11</w:t>
      </w:r>
      <w:r>
        <w:rPr>
          <w:rFonts w:hint="eastAsia"/>
        </w:rPr>
        <w:t>万人もの社員の中にある多様性価値や包摂の実現を阻む障壁を崩すべく、社員へのかかわり方について管理職を教育してきている。</w:t>
      </w:r>
    </w:p>
    <w:p w14:paraId="6AF2FBCF" w14:textId="77777777" w:rsidR="00CE2F06" w:rsidRDefault="00CE2F06" w:rsidP="00CE2F06">
      <w:r>
        <w:rPr>
          <w:rFonts w:hint="eastAsia"/>
        </w:rPr>
        <w:t>同社は新しい実験的没入型プログラムを考案し、管理職が当然と思っている特権に真っ向からチャレンジする内容となっている。考案から既に</w:t>
      </w:r>
      <w:r>
        <w:rPr>
          <w:rFonts w:hint="eastAsia"/>
        </w:rPr>
        <w:t>10</w:t>
      </w:r>
      <w:r>
        <w:rPr>
          <w:rFonts w:hint="eastAsia"/>
        </w:rPr>
        <w:t>年以上を経て、この研修プログラムは包摂の次元を高めるゲームチェンジャーとなっている。</w:t>
      </w:r>
    </w:p>
    <w:p w14:paraId="06B32FC3" w14:textId="77777777" w:rsidR="00CE2F06" w:rsidRDefault="00CE2F06" w:rsidP="00CE2F06">
      <w:r>
        <w:rPr>
          <w:rFonts w:hint="eastAsia"/>
        </w:rPr>
        <w:t>幹部も中間管理職も職場における偏見や排除といった不快な問題を正面からとらえ共感と理解を築き、平等で生産的かつ包摂的な職場環境を涵養することを求められる。</w:t>
      </w:r>
    </w:p>
    <w:p w14:paraId="233BED2F" w14:textId="77777777" w:rsidR="00CE2F06" w:rsidRDefault="00CE2F06" w:rsidP="00CE2F06">
      <w:r>
        <w:rPr>
          <w:rFonts w:hint="eastAsia"/>
        </w:rPr>
        <w:t>この研修ではまず管理職に自身を振り返らせ、生来の能力よりも如何に性別や人種、生育環境による恩恵を受けてきたかに気づかせ、実力主義神話を少しずつ砕いていく。</w:t>
      </w:r>
    </w:p>
    <w:p w14:paraId="4D06F765" w14:textId="77777777" w:rsidR="00CE2F06" w:rsidRDefault="00CE2F06" w:rsidP="00CE2F06">
      <w:r>
        <w:rPr>
          <w:rFonts w:hint="eastAsia"/>
        </w:rPr>
        <w:t>この没入型研修を受けた管理職の人々は、それを受けていない人々よりも高いレベルの包摂、関与及び信頼の感覚を報告している。</w:t>
      </w:r>
    </w:p>
    <w:p w14:paraId="1F4DB6EF" w14:textId="77777777" w:rsidR="00CE2F06" w:rsidRDefault="00CE2F06" w:rsidP="00CE2F06">
      <w:r>
        <w:rPr>
          <w:rFonts w:hint="eastAsia"/>
        </w:rPr>
        <w:t>この没入型研修は男女及び多様な人種の社員を一緒とすることで他者の視点を得ると共に、対話をよりオープンで透明なものとする風土を涵養している。他者をリスペクトする風土がすべての社員をしてその実力を職場でフルに発揮する雰囲気即ち包摂を生み出す。</w:t>
      </w:r>
    </w:p>
    <w:p w14:paraId="036FAF1E" w14:textId="77777777" w:rsidR="00CE2F06" w:rsidRDefault="00CE2F06" w:rsidP="00CE2F06">
      <w:r>
        <w:rPr>
          <w:rFonts w:hint="eastAsia"/>
        </w:rPr>
        <w:t>Lockheed Martin</w:t>
      </w:r>
      <w:r>
        <w:rPr>
          <w:rFonts w:hint="eastAsia"/>
        </w:rPr>
        <w:t>の経営幹部の</w:t>
      </w:r>
      <w:r>
        <w:rPr>
          <w:rFonts w:hint="eastAsia"/>
        </w:rPr>
        <w:t>40%</w:t>
      </w:r>
      <w:r>
        <w:rPr>
          <w:rFonts w:hint="eastAsia"/>
        </w:rPr>
        <w:t>は女性であり、同幹部は以下の</w:t>
      </w:r>
      <w:r>
        <w:rPr>
          <w:rFonts w:hint="eastAsia"/>
        </w:rPr>
        <w:t>4</w:t>
      </w:r>
      <w:r>
        <w:rPr>
          <w:rFonts w:hint="eastAsia"/>
        </w:rPr>
        <w:t>つの方針を掲げている：</w:t>
      </w:r>
    </w:p>
    <w:p w14:paraId="6E9DBF87" w14:textId="77777777" w:rsidR="00CE2F06" w:rsidRDefault="00CE2F06" w:rsidP="00CE2F06">
      <w:pPr>
        <w:pStyle w:val="a3"/>
        <w:numPr>
          <w:ilvl w:val="0"/>
          <w:numId w:val="15"/>
        </w:numPr>
        <w:ind w:leftChars="0"/>
      </w:pPr>
      <w:r>
        <w:rPr>
          <w:rFonts w:hint="eastAsia"/>
        </w:rPr>
        <w:t>女性の登用を全社で大胆に図る</w:t>
      </w:r>
    </w:p>
    <w:p w14:paraId="34C98FA3" w14:textId="77777777" w:rsidR="00CE2F06" w:rsidRDefault="00CE2F06" w:rsidP="00CE2F06">
      <w:pPr>
        <w:pStyle w:val="a3"/>
        <w:numPr>
          <w:ilvl w:val="0"/>
          <w:numId w:val="15"/>
        </w:numPr>
        <w:ind w:leftChars="0"/>
      </w:pPr>
      <w:r>
        <w:rPr>
          <w:rFonts w:hint="eastAsia"/>
        </w:rPr>
        <w:t>人材採用や異動・交代、昇進において、昇進無意識の偏見を排除すべく外部パートナーとともに能力評価プロセスを開発する</w:t>
      </w:r>
    </w:p>
    <w:p w14:paraId="339821C7" w14:textId="77777777" w:rsidR="00CE2F06" w:rsidRDefault="00CE2F06" w:rsidP="00CE2F06">
      <w:pPr>
        <w:pStyle w:val="a3"/>
        <w:numPr>
          <w:ilvl w:val="0"/>
          <w:numId w:val="15"/>
        </w:numPr>
        <w:ind w:leftChars="0"/>
      </w:pPr>
      <w:r>
        <w:rPr>
          <w:rFonts w:hint="eastAsia"/>
        </w:rPr>
        <w:t>没入型研修のような新たな実験的学びの機会を設け社員の行動変容を促し帰属感を涵養する</w:t>
      </w:r>
    </w:p>
    <w:p w14:paraId="6E54A6A8" w14:textId="77777777" w:rsidR="00CE2F06" w:rsidRDefault="00CE2F06" w:rsidP="00CE2F06">
      <w:pPr>
        <w:pStyle w:val="a3"/>
        <w:numPr>
          <w:ilvl w:val="0"/>
          <w:numId w:val="15"/>
        </w:numPr>
        <w:ind w:leftChars="0"/>
      </w:pPr>
      <w:r>
        <w:rPr>
          <w:rFonts w:hint="eastAsia"/>
        </w:rPr>
        <w:t>フォーカスグループや匿名での社員からのフィードバック或いは退職者調査を通じてデータを収集し改善につなげる</w:t>
      </w:r>
    </w:p>
    <w:p w14:paraId="408A734B" w14:textId="77777777" w:rsidR="00CE2F06" w:rsidRDefault="00CE2F06" w:rsidP="00CE2F06">
      <w:r>
        <w:rPr>
          <w:rFonts w:hint="eastAsia"/>
        </w:rPr>
        <w:t>これらは人事部門だけの努力ではなく、</w:t>
      </w:r>
      <w:r>
        <w:rPr>
          <w:rFonts w:hint="eastAsia"/>
        </w:rPr>
        <w:t>CEO</w:t>
      </w:r>
      <w:r>
        <w:rPr>
          <w:rFonts w:hint="eastAsia"/>
        </w:rPr>
        <w:t>自らがコミットし、率先垂範している。</w:t>
      </w:r>
    </w:p>
    <w:p w14:paraId="1A75CC41" w14:textId="77777777" w:rsidR="00CE2F06" w:rsidRPr="00A473DC" w:rsidRDefault="00CE2F06" w:rsidP="00CE2F06">
      <w:r>
        <w:rPr>
          <w:rFonts w:hint="eastAsia"/>
        </w:rPr>
        <w:t>職場での差別や報復行為を一切許さない方針を示しているが、これは各社員の信念までも変えろと言うことではなく、あくまで</w:t>
      </w:r>
      <w:r>
        <w:rPr>
          <w:rFonts w:hint="eastAsia"/>
        </w:rPr>
        <w:t>Lockheed Martin</w:t>
      </w:r>
      <w:r>
        <w:rPr>
          <w:rFonts w:hint="eastAsia"/>
        </w:rPr>
        <w:t>の職場にいる際の行動・振る舞いのルールと言うことである。</w:t>
      </w:r>
    </w:p>
    <w:p w14:paraId="3429A272" w14:textId="77777777" w:rsidR="00CE2F06" w:rsidRDefault="00CE2F06" w:rsidP="00CE2F06"/>
    <w:p w14:paraId="3C49B82C" w14:textId="77777777" w:rsidR="00CE2F06" w:rsidRPr="008329CC" w:rsidRDefault="00CE2F06" w:rsidP="00CE2F06">
      <w:pPr>
        <w:rPr>
          <w:b/>
          <w:bCs/>
        </w:rPr>
      </w:pPr>
      <w:r>
        <w:rPr>
          <w:rFonts w:hint="eastAsia"/>
          <w:b/>
          <w:bCs/>
        </w:rPr>
        <w:t>Target</w:t>
      </w:r>
      <w:r w:rsidRPr="008329CC">
        <w:rPr>
          <w:rFonts w:hint="eastAsia"/>
          <w:b/>
          <w:bCs/>
        </w:rPr>
        <w:t>社のジェンダーダイバーシティ</w:t>
      </w:r>
    </w:p>
    <w:p w14:paraId="732B31C5" w14:textId="77777777" w:rsidR="00CE2F06" w:rsidRDefault="00CE2F06" w:rsidP="00CE2F06">
      <w:r>
        <w:rPr>
          <w:rFonts w:hint="eastAsia"/>
        </w:rPr>
        <w:t>アメリカの人口の</w:t>
      </w:r>
      <w:r>
        <w:rPr>
          <w:rFonts w:hint="eastAsia"/>
        </w:rPr>
        <w:t>75%</w:t>
      </w:r>
      <w:r>
        <w:rPr>
          <w:rFonts w:hint="eastAsia"/>
        </w:rPr>
        <w:t>がターゲットのスーパーから</w:t>
      </w:r>
      <w:r>
        <w:rPr>
          <w:rFonts w:hint="eastAsia"/>
        </w:rPr>
        <w:t>10</w:t>
      </w:r>
      <w:r>
        <w:rPr>
          <w:rFonts w:hint="eastAsia"/>
        </w:rPr>
        <w:t>マイル以内に住んでいるという事実に鑑み、社員構成もその地域のダイバーシティを反映しようとしている。</w:t>
      </w:r>
    </w:p>
    <w:p w14:paraId="5B213ED6" w14:textId="77777777" w:rsidR="00CE2F06" w:rsidRDefault="00CE2F06" w:rsidP="00CE2F06">
      <w:r>
        <w:rPr>
          <w:rFonts w:hint="eastAsia"/>
        </w:rPr>
        <w:t>2006</w:t>
      </w:r>
      <w:r>
        <w:rPr>
          <w:rFonts w:hint="eastAsia"/>
        </w:rPr>
        <w:t>年から</w:t>
      </w:r>
      <w:r>
        <w:rPr>
          <w:rFonts w:hint="eastAsia"/>
        </w:rPr>
        <w:t>I</w:t>
      </w:r>
      <w:r>
        <w:rPr>
          <w:rFonts w:hint="eastAsia"/>
        </w:rPr>
        <w:t>＆</w:t>
      </w:r>
      <w:r>
        <w:rPr>
          <w:rFonts w:hint="eastAsia"/>
        </w:rPr>
        <w:t>D</w:t>
      </w:r>
      <w:r>
        <w:rPr>
          <w:rFonts w:hint="eastAsia"/>
        </w:rPr>
        <w:t>オフィスを設け</w:t>
      </w:r>
      <w:r>
        <w:rPr>
          <w:rFonts w:hint="eastAsia"/>
        </w:rPr>
        <w:t>I</w:t>
      </w:r>
      <w:r>
        <w:rPr>
          <w:rFonts w:hint="eastAsia"/>
        </w:rPr>
        <w:t>＆</w:t>
      </w:r>
      <w:r>
        <w:rPr>
          <w:rFonts w:hint="eastAsia"/>
        </w:rPr>
        <w:t>D</w:t>
      </w:r>
      <w:r>
        <w:rPr>
          <w:rFonts w:hint="eastAsia"/>
        </w:rPr>
        <w:t>を経営の根幹に据えている。経営幹部における女性の比率は</w:t>
      </w:r>
      <w:r>
        <w:rPr>
          <w:rFonts w:hint="eastAsia"/>
        </w:rPr>
        <w:t>45%</w:t>
      </w:r>
      <w:r>
        <w:rPr>
          <w:rFonts w:hint="eastAsia"/>
        </w:rPr>
        <w:t>に達している。</w:t>
      </w:r>
    </w:p>
    <w:p w14:paraId="257483B7" w14:textId="77777777" w:rsidR="00CE2F06" w:rsidRDefault="00CE2F06" w:rsidP="00CE2F06">
      <w:pPr>
        <w:pStyle w:val="a3"/>
        <w:numPr>
          <w:ilvl w:val="0"/>
          <w:numId w:val="16"/>
        </w:numPr>
        <w:ind w:leftChars="0"/>
      </w:pPr>
      <w:r>
        <w:rPr>
          <w:rFonts w:hint="eastAsia"/>
        </w:rPr>
        <w:lastRenderedPageBreak/>
        <w:t>I</w:t>
      </w:r>
      <w:r>
        <w:rPr>
          <w:rFonts w:hint="eastAsia"/>
        </w:rPr>
        <w:t>＆</w:t>
      </w:r>
      <w:r>
        <w:rPr>
          <w:rFonts w:hint="eastAsia"/>
        </w:rPr>
        <w:t>D</w:t>
      </w:r>
      <w:r>
        <w:rPr>
          <w:rFonts w:hint="eastAsia"/>
        </w:rPr>
        <w:t>に関する透明性を高めるため洗練されたデータの使い方を実現</w:t>
      </w:r>
    </w:p>
    <w:p w14:paraId="01EDD382" w14:textId="77777777" w:rsidR="00CE2F06" w:rsidRDefault="00CE2F06" w:rsidP="00CE2F06">
      <w:r>
        <w:rPr>
          <w:rFonts w:hint="eastAsia"/>
        </w:rPr>
        <w:t>I</w:t>
      </w:r>
      <w:r>
        <w:rPr>
          <w:rFonts w:hint="eastAsia"/>
        </w:rPr>
        <w:t>＆</w:t>
      </w:r>
      <w:r>
        <w:rPr>
          <w:rFonts w:hint="eastAsia"/>
        </w:rPr>
        <w:t>D</w:t>
      </w:r>
      <w:r>
        <w:rPr>
          <w:rFonts w:hint="eastAsia"/>
        </w:rPr>
        <w:t>専門チームを設け</w:t>
      </w:r>
      <w:r>
        <w:rPr>
          <w:rFonts w:hint="eastAsia"/>
        </w:rPr>
        <w:t>I</w:t>
      </w:r>
      <w:r>
        <w:rPr>
          <w:rFonts w:hint="eastAsia"/>
        </w:rPr>
        <w:t>＆</w:t>
      </w:r>
      <w:r>
        <w:rPr>
          <w:rFonts w:hint="eastAsia"/>
        </w:rPr>
        <w:t>D</w:t>
      </w:r>
      <w:r>
        <w:rPr>
          <w:rFonts w:hint="eastAsia"/>
        </w:rPr>
        <w:t>の進捗をかなり注意深く追跡されている。</w:t>
      </w:r>
    </w:p>
    <w:p w14:paraId="1BD7D568" w14:textId="77777777" w:rsidR="00CE2F06" w:rsidRDefault="00CE2F06" w:rsidP="00CE2F06">
      <w:r>
        <w:rPr>
          <w:rFonts w:hint="eastAsia"/>
        </w:rPr>
        <w:t>データ管理用のダッシュボードをいくつもそろえ、同チームは四半期毎並びに一年単位で進捗を調べ</w:t>
      </w:r>
      <w:r>
        <w:rPr>
          <w:rFonts w:hint="eastAsia"/>
        </w:rPr>
        <w:t>I</w:t>
      </w:r>
      <w:r>
        <w:rPr>
          <w:rFonts w:hint="eastAsia"/>
        </w:rPr>
        <w:t>＆</w:t>
      </w:r>
      <w:r>
        <w:rPr>
          <w:rFonts w:hint="eastAsia"/>
        </w:rPr>
        <w:t>D</w:t>
      </w:r>
      <w:r>
        <w:rPr>
          <w:rFonts w:hint="eastAsia"/>
        </w:rPr>
        <w:t>の目標を毎年見直し、四半期ごとに戦術を調整し直す。給与の改訂や昇進を検討する際にはダイバーシティの統計を確認できるようになっている。</w:t>
      </w:r>
    </w:p>
    <w:p w14:paraId="4222AC95" w14:textId="77777777" w:rsidR="00CE2F06" w:rsidRDefault="00CE2F06" w:rsidP="00CE2F06"/>
    <w:p w14:paraId="4743AAA4" w14:textId="77777777" w:rsidR="00CE2F06" w:rsidRDefault="00CE2F06" w:rsidP="00CE2F06">
      <w:pPr>
        <w:pStyle w:val="a3"/>
        <w:numPr>
          <w:ilvl w:val="0"/>
          <w:numId w:val="16"/>
        </w:numPr>
        <w:ind w:leftChars="0"/>
      </w:pPr>
      <w:r>
        <w:rPr>
          <w:rFonts w:hint="eastAsia"/>
        </w:rPr>
        <w:t>勇気を持った対話と組織を超えた傾聴</w:t>
      </w:r>
    </w:p>
    <w:p w14:paraId="09F63F9B" w14:textId="77777777" w:rsidR="00CE2F06" w:rsidRDefault="00CE2F06" w:rsidP="00CE2F06">
      <w:r>
        <w:rPr>
          <w:rFonts w:hint="eastAsia"/>
        </w:rPr>
        <w:t>ターゲット社の社風は“</w:t>
      </w:r>
      <w:r>
        <w:rPr>
          <w:rFonts w:hint="eastAsia"/>
        </w:rPr>
        <w:t>Stay open</w:t>
      </w:r>
      <w:r>
        <w:rPr>
          <w:rFonts w:hint="eastAsia"/>
        </w:rPr>
        <w:t>（オープンな対話ができる職場であり続ける）”である。</w:t>
      </w:r>
    </w:p>
    <w:p w14:paraId="46F2D19C" w14:textId="77777777" w:rsidR="00CE2F06" w:rsidRDefault="00CE2F06" w:rsidP="00CE2F06">
      <w:r>
        <w:rPr>
          <w:rFonts w:hint="eastAsia"/>
        </w:rPr>
        <w:t>共存のためのルールの下で、社員は他社に対し好奇心と責任を持ち、質問をし、時に難しい会話を行い職場や地域社会で前向きな影響を起こすようにそれぞれの固有のスキルを発揮することを奨励されている。</w:t>
      </w:r>
    </w:p>
    <w:p w14:paraId="6C601F44" w14:textId="77777777" w:rsidR="00CE2F06" w:rsidRDefault="00CE2F06" w:rsidP="00CE2F06"/>
    <w:p w14:paraId="3E9C6C7D" w14:textId="77777777" w:rsidR="00CE2F06" w:rsidRDefault="00CE2F06" w:rsidP="00CE2F06">
      <w:r>
        <w:rPr>
          <w:rFonts w:hint="eastAsia"/>
        </w:rPr>
        <w:t>包摂はターゲットの企業文化の中でも大切な価値観となっている。同社は多様性を受け入れ、誰もが同じ機会にアクセスできるようにすることで異なる視点を持つことの恩恵を得られ、顧客の様々なニーズによりよく答えることを可能にしようとしている。</w:t>
      </w:r>
    </w:p>
    <w:p w14:paraId="11FAC9C2" w14:textId="77777777" w:rsidR="00CE2F06" w:rsidRDefault="00CE2F06" w:rsidP="00CE2F06">
      <w:r>
        <w:rPr>
          <w:rFonts w:hint="eastAsia"/>
        </w:rPr>
        <w:t>I</w:t>
      </w:r>
      <w:r>
        <w:rPr>
          <w:rFonts w:hint="eastAsia"/>
        </w:rPr>
        <w:t>＆</w:t>
      </w:r>
      <w:r>
        <w:rPr>
          <w:rFonts w:hint="eastAsia"/>
        </w:rPr>
        <w:t>D</w:t>
      </w:r>
      <w:r>
        <w:rPr>
          <w:rFonts w:hint="eastAsia"/>
        </w:rPr>
        <w:t>を独立した機能としてみるのではなく、</w:t>
      </w:r>
      <w:r>
        <w:rPr>
          <w:rFonts w:hint="eastAsia"/>
        </w:rPr>
        <w:t>I</w:t>
      </w:r>
      <w:r>
        <w:rPr>
          <w:rFonts w:hint="eastAsia"/>
        </w:rPr>
        <w:t>＆</w:t>
      </w:r>
      <w:r>
        <w:rPr>
          <w:rFonts w:hint="eastAsia"/>
        </w:rPr>
        <w:t>D</w:t>
      </w:r>
      <w:r>
        <w:rPr>
          <w:rFonts w:hint="eastAsia"/>
        </w:rPr>
        <w:t>に基づくエコシステムを社内に構築している。どの職場にもボランティアでダイバーシティアクションコミッティが設けられ、それが前出の</w:t>
      </w:r>
      <w:r>
        <w:rPr>
          <w:rFonts w:hint="eastAsia"/>
        </w:rPr>
        <w:t>I</w:t>
      </w:r>
      <w:r>
        <w:rPr>
          <w:rFonts w:hint="eastAsia"/>
        </w:rPr>
        <w:t>＆</w:t>
      </w:r>
      <w:r>
        <w:rPr>
          <w:rFonts w:hint="eastAsia"/>
        </w:rPr>
        <w:t>D</w:t>
      </w:r>
      <w:r>
        <w:rPr>
          <w:rFonts w:hint="eastAsia"/>
        </w:rPr>
        <w:t>チームと協働で各職場での</w:t>
      </w:r>
      <w:r>
        <w:rPr>
          <w:rFonts w:hint="eastAsia"/>
        </w:rPr>
        <w:t>I</w:t>
      </w:r>
      <w:r>
        <w:rPr>
          <w:rFonts w:hint="eastAsia"/>
        </w:rPr>
        <w:t>＆</w:t>
      </w:r>
      <w:r>
        <w:rPr>
          <w:rFonts w:hint="eastAsia"/>
        </w:rPr>
        <w:t>D</w:t>
      </w:r>
      <w:r>
        <w:rPr>
          <w:rFonts w:hint="eastAsia"/>
        </w:rPr>
        <w:t>の戦術を遂行する。</w:t>
      </w:r>
    </w:p>
    <w:p w14:paraId="5D1AE2DA" w14:textId="77777777" w:rsidR="00CE2F06" w:rsidRDefault="00CE2F06" w:rsidP="00CE2F06">
      <w:r>
        <w:rPr>
          <w:rFonts w:hint="eastAsia"/>
        </w:rPr>
        <w:t>社内には人種や性別、能力、</w:t>
      </w:r>
      <w:r>
        <w:rPr>
          <w:rFonts w:hint="eastAsia"/>
        </w:rPr>
        <w:t>LGBTQ</w:t>
      </w:r>
      <w:r>
        <w:rPr>
          <w:rFonts w:hint="eastAsia"/>
        </w:rPr>
        <w:t>、高齢者、障がい者、信仰におうじたグループも存在している。</w:t>
      </w:r>
    </w:p>
    <w:p w14:paraId="6B7DBB0E" w14:textId="77777777" w:rsidR="00CE2F06" w:rsidRDefault="00CE2F06" w:rsidP="00CE2F06">
      <w:r>
        <w:rPr>
          <w:rFonts w:hint="eastAsia"/>
        </w:rPr>
        <w:t>今後の方針もクリアであり、①地域に合った多様な社員の確保と処遇・昇進の公平性担保、②包摂に向けた幹部と各社員の研修実施、③多様な納入業者への投資と多様な文化の顧客への奉仕。</w:t>
      </w:r>
    </w:p>
    <w:p w14:paraId="517DFD93" w14:textId="77777777" w:rsidR="00CE2F06" w:rsidRDefault="00CE2F06" w:rsidP="00CE2F06"/>
    <w:p w14:paraId="6975C30C" w14:textId="77777777" w:rsidR="00CE2F06" w:rsidRPr="008329CC" w:rsidRDefault="00CE2F06" w:rsidP="00CE2F06">
      <w:pPr>
        <w:rPr>
          <w:b/>
          <w:bCs/>
        </w:rPr>
      </w:pPr>
      <w:r>
        <w:rPr>
          <w:rFonts w:hint="eastAsia"/>
          <w:b/>
          <w:bCs/>
        </w:rPr>
        <w:t>Citigroup</w:t>
      </w:r>
    </w:p>
    <w:p w14:paraId="65C88A9C" w14:textId="77777777" w:rsidR="00CE2F06" w:rsidRDefault="00CE2F06" w:rsidP="00CE2F06">
      <w:r>
        <w:rPr>
          <w:rFonts w:hint="eastAsia"/>
        </w:rPr>
        <w:t>シティグループは経営幹部における女性の割合を</w:t>
      </w:r>
      <w:r>
        <w:rPr>
          <w:rFonts w:hint="eastAsia"/>
        </w:rPr>
        <w:t>2014</w:t>
      </w:r>
      <w:r>
        <w:rPr>
          <w:rFonts w:hint="eastAsia"/>
        </w:rPr>
        <w:t>年の</w:t>
      </w:r>
      <w:r>
        <w:rPr>
          <w:rFonts w:hint="eastAsia"/>
        </w:rPr>
        <w:t>8%</w:t>
      </w:r>
      <w:r>
        <w:rPr>
          <w:rFonts w:hint="eastAsia"/>
        </w:rPr>
        <w:t>から</w:t>
      </w:r>
      <w:r>
        <w:rPr>
          <w:rFonts w:hint="eastAsia"/>
        </w:rPr>
        <w:t>2019</w:t>
      </w:r>
      <w:r>
        <w:rPr>
          <w:rFonts w:hint="eastAsia"/>
        </w:rPr>
        <w:t>年には</w:t>
      </w:r>
      <w:r>
        <w:rPr>
          <w:rFonts w:hint="eastAsia"/>
        </w:rPr>
        <w:t>30%</w:t>
      </w:r>
      <w:r>
        <w:rPr>
          <w:rFonts w:hint="eastAsia"/>
        </w:rPr>
        <w:t>超となっている。同社は機械の平等と説明責任及び透明性を活動のすべての中心に据えている。どの階層の管理職も</w:t>
      </w:r>
      <w:r>
        <w:rPr>
          <w:rFonts w:hint="eastAsia"/>
        </w:rPr>
        <w:t>I&amp;D</w:t>
      </w:r>
      <w:r>
        <w:rPr>
          <w:rFonts w:hint="eastAsia"/>
        </w:rPr>
        <w:t>を推進する活動に直接関与し、責任を有しており、その活動のスコアカードが取締役会にも提示されている。</w:t>
      </w:r>
    </w:p>
    <w:p w14:paraId="597A680C" w14:textId="77777777" w:rsidR="00CE2F06" w:rsidRDefault="00CE2F06" w:rsidP="00CE2F06">
      <w:r>
        <w:rPr>
          <w:rFonts w:hint="eastAsia"/>
        </w:rPr>
        <w:t>特に優秀人材の採用、育成と定着、そして昇進のプロセスが</w:t>
      </w:r>
      <w:r>
        <w:rPr>
          <w:rFonts w:hint="eastAsia"/>
        </w:rPr>
        <w:t>I&amp;D</w:t>
      </w:r>
      <w:r>
        <w:rPr>
          <w:rFonts w:hint="eastAsia"/>
        </w:rPr>
        <w:t>活動の焦点となる。</w:t>
      </w:r>
    </w:p>
    <w:p w14:paraId="47F68B58" w14:textId="77777777" w:rsidR="00CE2F06" w:rsidRDefault="00CE2F06" w:rsidP="00CE2F06">
      <w:r>
        <w:rPr>
          <w:rFonts w:hint="eastAsia"/>
        </w:rPr>
        <w:t>採用においては女性やマジョリティでない人々に向けての説明責任が前面に求められる。</w:t>
      </w:r>
    </w:p>
    <w:p w14:paraId="584C99E4" w14:textId="77777777" w:rsidR="00CE2F06" w:rsidRDefault="00CE2F06" w:rsidP="00CE2F06">
      <w:r>
        <w:rPr>
          <w:rFonts w:hint="eastAsia"/>
        </w:rPr>
        <w:t>多様で包摂的な企業文化を作ることはトップや特定の性、人種のグループの責任ではなく、全社員の責任であるとの認識の下、シティグループでは</w:t>
      </w:r>
      <w:r>
        <w:rPr>
          <w:rFonts w:hint="eastAsia"/>
        </w:rPr>
        <w:t>Implicit Association Test</w:t>
      </w:r>
      <w:r>
        <w:rPr>
          <w:rFonts w:hint="eastAsia"/>
        </w:rPr>
        <w:t>の研修や</w:t>
      </w:r>
      <w:r>
        <w:rPr>
          <w:rFonts w:hint="eastAsia"/>
        </w:rPr>
        <w:t>Affinity Group</w:t>
      </w:r>
      <w:r>
        <w:rPr>
          <w:rFonts w:hint="eastAsia"/>
        </w:rPr>
        <w:t>に投資をし、社員が社内の障壁についてや、全員が責任を負う必要性についてオープンに会話できるようにしている。　その結果、社員は難しいテーマや不愉快となる対話も避けることなく語り合い、陰で不満を語ることのないように努めている。</w:t>
      </w:r>
    </w:p>
    <w:p w14:paraId="0DB8A163" w14:textId="77777777" w:rsidR="00CE2F06" w:rsidRDefault="00CE2F06" w:rsidP="00CE2F06"/>
    <w:p w14:paraId="7F141978" w14:textId="77777777" w:rsidR="00CE2F06" w:rsidRPr="00A24DD7" w:rsidRDefault="00CE2F06" w:rsidP="00CE2F06">
      <w:pPr>
        <w:rPr>
          <w:b/>
          <w:bCs/>
        </w:rPr>
      </w:pPr>
      <w:r w:rsidRPr="00A24DD7">
        <w:rPr>
          <w:rFonts w:hint="eastAsia"/>
          <w:b/>
          <w:bCs/>
        </w:rPr>
        <w:t>Pentair</w:t>
      </w:r>
      <w:r w:rsidRPr="00A24DD7">
        <w:rPr>
          <w:rFonts w:hint="eastAsia"/>
          <w:b/>
          <w:bCs/>
        </w:rPr>
        <w:t>社</w:t>
      </w:r>
    </w:p>
    <w:p w14:paraId="41220DE0" w14:textId="5328BEBB" w:rsidR="00CE2F06" w:rsidRDefault="00CE2F06" w:rsidP="00CE2F06">
      <w:r>
        <w:rPr>
          <w:rFonts w:hint="eastAsia"/>
        </w:rPr>
        <w:t>世界的水処理会社の</w:t>
      </w:r>
      <w:r>
        <w:rPr>
          <w:rFonts w:hint="eastAsia"/>
        </w:rPr>
        <w:t>Pentair</w:t>
      </w:r>
      <w:r>
        <w:rPr>
          <w:rFonts w:hint="eastAsia"/>
        </w:rPr>
        <w:t>は新たなビジネスチャンスとして包摂的文化の構築をとらえている。そしてダイバーシティ分野も人種や性別から国籍、年齢、パーソナルスタイル、性的志向、障がいの有無、</w:t>
      </w:r>
      <w:r w:rsidR="006920FB">
        <w:rPr>
          <w:rFonts w:hint="eastAsia"/>
        </w:rPr>
        <w:t>信教</w:t>
      </w:r>
      <w:r>
        <w:rPr>
          <w:rFonts w:hint="eastAsia"/>
        </w:rPr>
        <w:t>並びに経験など幅広くとらえている。　これはそれぞれの社員が持つユニークな強みを最適に発揮できる働き方を可能にするという企業文化を従来に増して強調することとなっている。</w:t>
      </w:r>
    </w:p>
    <w:p w14:paraId="527B18D3" w14:textId="77777777" w:rsidR="00CE2F06" w:rsidRDefault="00CE2F06" w:rsidP="00CE2F06">
      <w:r>
        <w:rPr>
          <w:rFonts w:hint="eastAsia"/>
        </w:rPr>
        <w:t>Pentair</w:t>
      </w:r>
      <w:r>
        <w:rPr>
          <w:rFonts w:hint="eastAsia"/>
        </w:rPr>
        <w:t>にとって</w:t>
      </w:r>
      <w:r>
        <w:rPr>
          <w:rFonts w:hint="eastAsia"/>
        </w:rPr>
        <w:t>I</w:t>
      </w:r>
      <w:r>
        <w:rPr>
          <w:rFonts w:hint="eastAsia"/>
        </w:rPr>
        <w:t>＆</w:t>
      </w:r>
      <w:r>
        <w:rPr>
          <w:rFonts w:hint="eastAsia"/>
        </w:rPr>
        <w:t>D</w:t>
      </w:r>
      <w:r>
        <w:rPr>
          <w:rFonts w:hint="eastAsia"/>
        </w:rPr>
        <w:t>は女性の幹部比率を高めるといった単なる数値目標ではなく、それが会社にとって真に必要なことであると腹落ちするよう良きビジネス事例を築き上げるため多くの時間教育研修に費やしている。この点は同社のもともとの社風である</w:t>
      </w:r>
      <w:r>
        <w:rPr>
          <w:rFonts w:hint="eastAsia"/>
        </w:rPr>
        <w:t>Win Right</w:t>
      </w:r>
      <w:r>
        <w:rPr>
          <w:rFonts w:hint="eastAsia"/>
        </w:rPr>
        <w:t>に合致する方向である。</w:t>
      </w:r>
    </w:p>
    <w:p w14:paraId="5774374F" w14:textId="77777777" w:rsidR="00CE2F06" w:rsidRDefault="00CE2F06" w:rsidP="00CE2F06"/>
    <w:p w14:paraId="207AB7AE" w14:textId="77777777" w:rsidR="00CE2F06" w:rsidRDefault="00CE2F06" w:rsidP="00CE2F06">
      <w:pPr>
        <w:pStyle w:val="a3"/>
        <w:numPr>
          <w:ilvl w:val="0"/>
          <w:numId w:val="17"/>
        </w:numPr>
        <w:ind w:leftChars="0"/>
      </w:pPr>
      <w:r>
        <w:rPr>
          <w:rFonts w:hint="eastAsia"/>
        </w:rPr>
        <w:t>採用と配属においては公正な雇用のやり方をどの層にも徹底する</w:t>
      </w:r>
    </w:p>
    <w:p w14:paraId="1EE549DB" w14:textId="77777777" w:rsidR="00CE2F06" w:rsidRDefault="00CE2F06" w:rsidP="00CE2F06">
      <w:pPr>
        <w:pStyle w:val="a3"/>
        <w:numPr>
          <w:ilvl w:val="0"/>
          <w:numId w:val="17"/>
        </w:numPr>
        <w:ind w:leftChars="0"/>
      </w:pPr>
      <w:r>
        <w:rPr>
          <w:rFonts w:hint="eastAsia"/>
        </w:rPr>
        <w:t>多様な社員の成長と定着を図るリーダーシップの役割。多様な社員を含めすべての社員のためのキャリアディベロップメントを重視する管理職研修。異なるバックグラウンドを有する社員を魅了し、定着させ、成長させるべくそうしたバックグラウンドごとの社員のグループのネットワークを活用する。同社は社員の家族支援とワークライフバランスの改善のために手当てを改訂した。</w:t>
      </w:r>
    </w:p>
    <w:p w14:paraId="5D4F2083" w14:textId="77777777" w:rsidR="00CE2F06" w:rsidRDefault="00CE2F06" w:rsidP="00CE2F06">
      <w:pPr>
        <w:pStyle w:val="a3"/>
        <w:numPr>
          <w:ilvl w:val="0"/>
          <w:numId w:val="17"/>
        </w:numPr>
        <w:ind w:leftChars="0"/>
      </w:pPr>
      <w:r>
        <w:rPr>
          <w:rFonts w:hint="eastAsia"/>
        </w:rPr>
        <w:t>異なることや公正であることそして包摂に価値を置く職場環境を育む。これには</w:t>
      </w:r>
      <w:r>
        <w:rPr>
          <w:rFonts w:hint="eastAsia"/>
        </w:rPr>
        <w:t>Global Effectiveness</w:t>
      </w:r>
      <w:r>
        <w:rPr>
          <w:rFonts w:hint="eastAsia"/>
        </w:rPr>
        <w:t>研修が含まれ、グローバル目線で異なることへの気づきの視点を養い、管理職や社員が国境や文化、言語を超えて協働する能力を強化する。</w:t>
      </w:r>
    </w:p>
    <w:p w14:paraId="3F9F2625" w14:textId="77777777" w:rsidR="00CE2F06" w:rsidRDefault="00CE2F06" w:rsidP="00CE2F06"/>
    <w:p w14:paraId="57872A23" w14:textId="77777777" w:rsidR="00CE2F06" w:rsidRPr="00324F75" w:rsidRDefault="00CE2F06" w:rsidP="00CE2F06"/>
    <w:p w14:paraId="1952F48D" w14:textId="0113A3EC" w:rsidR="001F7A99" w:rsidRDefault="001F7A99">
      <w:pPr>
        <w:widowControl/>
        <w:jc w:val="left"/>
        <w:rPr>
          <w:b/>
          <w:bCs/>
        </w:rPr>
      </w:pPr>
      <w:r>
        <w:rPr>
          <w:b/>
          <w:bCs/>
        </w:rPr>
        <w:br w:type="page"/>
      </w:r>
    </w:p>
    <w:p w14:paraId="04C8A112" w14:textId="3D1B7E7C" w:rsidR="001F7A99" w:rsidRPr="001F7A99" w:rsidRDefault="001F7A99" w:rsidP="001F7A99">
      <w:pPr>
        <w:rPr>
          <w:b/>
          <w:bCs/>
        </w:rPr>
      </w:pPr>
      <w:r w:rsidRPr="001F7A99">
        <w:rPr>
          <w:rFonts w:hint="eastAsia"/>
          <w:b/>
          <w:bCs/>
        </w:rPr>
        <w:lastRenderedPageBreak/>
        <w:t>別紙</w:t>
      </w:r>
      <w:r w:rsidR="00336104">
        <w:rPr>
          <w:rFonts w:hint="eastAsia"/>
          <w:b/>
          <w:bCs/>
        </w:rPr>
        <w:t>８</w:t>
      </w:r>
      <w:r w:rsidRPr="001F7A99">
        <w:rPr>
          <w:rFonts w:hint="eastAsia"/>
          <w:b/>
          <w:bCs/>
        </w:rPr>
        <w:t xml:space="preserve">　　</w:t>
      </w:r>
      <w:r w:rsidRPr="001F7A99">
        <w:rPr>
          <w:rFonts w:ascii="ＭＳ Ｐゴシック" w:eastAsia="ＭＳ Ｐゴシック" w:hAnsi="ＭＳ Ｐゴシック" w:hint="eastAsia"/>
          <w:b/>
          <w:bCs/>
          <w:sz w:val="24"/>
          <w:szCs w:val="24"/>
        </w:rPr>
        <w:t>ウィスコンシン州に見る政治分断の過熱　　ソース：　弊社ニュースレター</w:t>
      </w:r>
    </w:p>
    <w:p w14:paraId="1FD7F2D4" w14:textId="77777777" w:rsidR="001F7A99" w:rsidRDefault="001F7A99" w:rsidP="001F7A99">
      <w:pPr>
        <w:rPr>
          <w:rFonts w:ascii="ＭＳ Ｐゴシック" w:eastAsia="ＭＳ Ｐゴシック" w:hAnsi="ＭＳ Ｐゴシック"/>
          <w:sz w:val="24"/>
          <w:szCs w:val="24"/>
        </w:rPr>
      </w:pPr>
    </w:p>
    <w:p w14:paraId="3A8B66D6"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米国のスイングステーツの１つの</w:t>
      </w:r>
      <w:r>
        <w:rPr>
          <w:rFonts w:ascii="ＭＳ Ｐゴシック" w:eastAsia="ＭＳ Ｐゴシック" w:hAnsi="ＭＳ Ｐゴシック" w:hint="eastAsia"/>
          <w:b/>
          <w:bCs/>
          <w:sz w:val="24"/>
          <w:szCs w:val="24"/>
        </w:rPr>
        <w:t>ウィスコンシン州</w:t>
      </w:r>
      <w:r>
        <w:rPr>
          <w:rFonts w:ascii="ＭＳ Ｐゴシック" w:eastAsia="ＭＳ Ｐゴシック" w:hAnsi="ＭＳ Ｐゴシック" w:hint="eastAsia"/>
          <w:sz w:val="24"/>
          <w:szCs w:val="24"/>
        </w:rPr>
        <w:t>で、これまで4対3で</w:t>
      </w:r>
      <w:r>
        <w:rPr>
          <w:rFonts w:ascii="ＭＳ Ｐゴシック" w:eastAsia="ＭＳ Ｐゴシック" w:hAnsi="ＭＳ Ｐゴシック" w:hint="eastAsia"/>
          <w:b/>
          <w:bCs/>
          <w:sz w:val="24"/>
          <w:szCs w:val="24"/>
        </w:rPr>
        <w:t>保守派が主導権を握っていた州の最高裁が、保守派判事の引退に伴い4月になされた選挙でリベラル派判事が選ばれたことから多数派が逆転</w:t>
      </w:r>
      <w:r>
        <w:rPr>
          <w:rFonts w:ascii="ＭＳ Ｐゴシック" w:eastAsia="ＭＳ Ｐゴシック" w:hAnsi="ＭＳ Ｐゴシック" w:hint="eastAsia"/>
          <w:sz w:val="24"/>
          <w:szCs w:val="24"/>
        </w:rPr>
        <w:t>した。</w:t>
      </w:r>
    </w:p>
    <w:p w14:paraId="10F505F3"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そこからわずか数ヶ月で</w:t>
      </w:r>
      <w:r>
        <w:rPr>
          <w:rFonts w:ascii="ＭＳ Ｐゴシック" w:eastAsia="ＭＳ Ｐゴシック" w:hAnsi="ＭＳ Ｐゴシック" w:hint="eastAsia"/>
          <w:b/>
          <w:bCs/>
          <w:sz w:val="24"/>
          <w:szCs w:val="24"/>
        </w:rPr>
        <w:t>リベラル派が劇的な変化を起こしている</w:t>
      </w:r>
      <w:r>
        <w:rPr>
          <w:rFonts w:ascii="ＭＳ Ｐゴシック" w:eastAsia="ＭＳ Ｐゴシック" w:hAnsi="ＭＳ Ｐゴシック" w:hint="eastAsia"/>
          <w:sz w:val="24"/>
          <w:szCs w:val="24"/>
        </w:rPr>
        <w:t>様子をワシントンポストが伝えている。</w:t>
      </w:r>
    </w:p>
    <w:p w14:paraId="22F1E577"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その変化の１つが、</w:t>
      </w:r>
      <w:r>
        <w:rPr>
          <w:rFonts w:ascii="ＭＳ Ｐゴシック" w:eastAsia="ＭＳ Ｐゴシック" w:hAnsi="ＭＳ Ｐゴシック" w:hint="eastAsia"/>
          <w:b/>
          <w:bCs/>
          <w:sz w:val="24"/>
          <w:szCs w:val="24"/>
        </w:rPr>
        <w:t>新多数派による保守派出身の主判事（多数派が変わっても継続）から主要職務を切り離す判断を下したこと</w:t>
      </w:r>
      <w:r>
        <w:rPr>
          <w:rFonts w:ascii="ＭＳ Ｐゴシック" w:eastAsia="ＭＳ Ｐゴシック" w:hAnsi="ＭＳ Ｐゴシック" w:hint="eastAsia"/>
          <w:sz w:val="24"/>
          <w:szCs w:val="24"/>
        </w:rPr>
        <w:t>。</w:t>
      </w:r>
    </w:p>
    <w:p w14:paraId="34FCC3D3"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同主判事はこの急変を「クーデター」と称し非難</w:t>
      </w:r>
      <w:r>
        <w:rPr>
          <w:rFonts w:ascii="ＭＳ Ｐゴシック" w:eastAsia="ＭＳ Ｐゴシック" w:hAnsi="ＭＳ Ｐゴシック" w:hint="eastAsia"/>
          <w:sz w:val="24"/>
          <w:szCs w:val="24"/>
        </w:rPr>
        <w:t>している。</w:t>
      </w:r>
    </w:p>
    <w:p w14:paraId="5FF134F7"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また、</w:t>
      </w:r>
      <w:r>
        <w:rPr>
          <w:rFonts w:ascii="ＭＳ Ｐゴシック" w:eastAsia="ＭＳ Ｐゴシック" w:hAnsi="ＭＳ Ｐゴシック" w:hint="eastAsia"/>
          <w:b/>
          <w:bCs/>
          <w:sz w:val="24"/>
          <w:szCs w:val="24"/>
        </w:rPr>
        <w:t>リベラル派の州の司法長官はウィスコンシン州内で医師が中絶手術を行うことを禁止する19世紀の州法を見直す訴訟を加速させ早々に最高裁に持ち込ませようとしている</w:t>
      </w:r>
      <w:r>
        <w:rPr>
          <w:rFonts w:ascii="ＭＳ Ｐゴシック" w:eastAsia="ＭＳ Ｐゴシック" w:hAnsi="ＭＳ Ｐゴシック" w:hint="eastAsia"/>
          <w:sz w:val="24"/>
          <w:szCs w:val="24"/>
        </w:rPr>
        <w:t>。</w:t>
      </w:r>
    </w:p>
    <w:p w14:paraId="4389D43A"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州の最高裁の多数派をどちらが握るかはウィスコンシン州のようなスイングステーツにおいて来年の大統領選の勝利者を最終確定する際に重要</w:t>
      </w:r>
      <w:r>
        <w:rPr>
          <w:rFonts w:ascii="ＭＳ Ｐゴシック" w:eastAsia="ＭＳ Ｐゴシック" w:hAnsi="ＭＳ Ｐゴシック" w:hint="eastAsia"/>
          <w:sz w:val="24"/>
          <w:szCs w:val="24"/>
        </w:rPr>
        <w:t>になる。</w:t>
      </w:r>
    </w:p>
    <w:p w14:paraId="199F8F83"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ウィスコンシン州ではこれまで15年間、保守派が最高裁の多数派を占めてきており、その間、共和党に有利となる投票者のID確認を求める州法や公的従業員の集団的交渉権への制限の設置、不在者投票箱の禁止、共和党に対する広範な選挙活動資金調査の終了に関する最終的な司法判断を下してきた</w:t>
      </w:r>
      <w:r>
        <w:rPr>
          <w:rFonts w:ascii="ＭＳ Ｐゴシック" w:eastAsia="ＭＳ Ｐゴシック" w:hAnsi="ＭＳ Ｐゴシック" w:hint="eastAsia"/>
          <w:sz w:val="24"/>
          <w:szCs w:val="24"/>
        </w:rPr>
        <w:t>。</w:t>
      </w:r>
    </w:p>
    <w:p w14:paraId="19515149"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今回4月の選挙で勝利したリベラル派判事は、</w:t>
      </w:r>
      <w:r>
        <w:rPr>
          <w:rFonts w:ascii="ＭＳ Ｐゴシック" w:eastAsia="ＭＳ Ｐゴシック" w:hAnsi="ＭＳ Ｐゴシック" w:hint="eastAsia"/>
          <w:b/>
          <w:bCs/>
          <w:sz w:val="24"/>
          <w:szCs w:val="24"/>
        </w:rPr>
        <w:t>自らの選挙活動において中絶の権利擁護や共和党に有利な選挙区に反対することを公約</w:t>
      </w:r>
      <w:r>
        <w:rPr>
          <w:rFonts w:ascii="ＭＳ Ｐゴシック" w:eastAsia="ＭＳ Ｐゴシック" w:hAnsi="ＭＳ Ｐゴシック" w:hint="eastAsia"/>
          <w:sz w:val="24"/>
          <w:szCs w:val="24"/>
        </w:rPr>
        <w:t xml:space="preserve">している。　</w:t>
      </w:r>
    </w:p>
    <w:p w14:paraId="5FA815F0"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公正な審判役を務めるべき判事候補というより政治家のようなキャンペーン</w:t>
      </w:r>
      <w:r>
        <w:rPr>
          <w:rFonts w:ascii="ＭＳ Ｐゴシック" w:eastAsia="ＭＳ Ｐゴシック" w:hAnsi="ＭＳ Ｐゴシック" w:hint="eastAsia"/>
          <w:sz w:val="24"/>
          <w:szCs w:val="24"/>
        </w:rPr>
        <w:t>であった。</w:t>
      </w:r>
    </w:p>
    <w:p w14:paraId="4E5E8FC6"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現在米国ではウィスコンシン州を含め</w:t>
      </w:r>
      <w:r>
        <w:rPr>
          <w:rFonts w:ascii="ＭＳ Ｐゴシック" w:eastAsia="ＭＳ Ｐゴシック" w:hAnsi="ＭＳ Ｐゴシック" w:hint="eastAsia"/>
          <w:b/>
          <w:bCs/>
          <w:sz w:val="24"/>
          <w:szCs w:val="24"/>
        </w:rPr>
        <w:t>21の州で判事を州民が直接選挙で選び、他に17の州では知事等から任命された判事の継続において州民の選挙を必要</w:t>
      </w:r>
      <w:r>
        <w:rPr>
          <w:rFonts w:ascii="ＭＳ Ｐゴシック" w:eastAsia="ＭＳ Ｐゴシック" w:hAnsi="ＭＳ Ｐゴシック" w:hint="eastAsia"/>
          <w:sz w:val="24"/>
          <w:szCs w:val="24"/>
        </w:rPr>
        <w:t>となっている。</w:t>
      </w:r>
    </w:p>
    <w:p w14:paraId="1CBE74E0" w14:textId="77777777" w:rsidR="001F7A99" w:rsidRDefault="001F7A99" w:rsidP="001F7A99">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保守派は主要な州の最高裁の多数派を長年キープしている。</w:t>
      </w:r>
    </w:p>
    <w:p w14:paraId="519675F6"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その戦略は、「犯罪に厳しい」という印象付けと共和党に近い企業や富裕層をスポンサー</w:t>
      </w:r>
      <w:r>
        <w:rPr>
          <w:rFonts w:ascii="ＭＳ Ｐゴシック" w:eastAsia="ＭＳ Ｐゴシック" w:hAnsi="ＭＳ Ｐゴシック" w:hint="eastAsia"/>
          <w:sz w:val="24"/>
          <w:szCs w:val="24"/>
        </w:rPr>
        <w:t>として取り込むことにある。</w:t>
      </w:r>
    </w:p>
    <w:p w14:paraId="14384E3D"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これに対し、現在リベラル側が巻き返しを図ろうとしている状況にある。</w:t>
      </w:r>
    </w:p>
    <w:p w14:paraId="4F1E34E7" w14:textId="77777777" w:rsidR="001F7A99" w:rsidRDefault="001F7A99" w:rsidP="001F7A99">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中絶の権利や選挙権の解釈に加え、公的年金のESG投資と企業の気候変動リスクの開示、多様性やLGBTQに対する姿勢といった重大な問題</w:t>
      </w:r>
      <w:r>
        <w:rPr>
          <w:rFonts w:ascii="ＭＳ Ｐゴシック" w:eastAsia="ＭＳ Ｐゴシック" w:hAnsi="ＭＳ Ｐゴシック" w:hint="eastAsia"/>
          <w:sz w:val="24"/>
          <w:szCs w:val="24"/>
        </w:rPr>
        <w:t>に関し、連邦議会・政府における党派対立が各州の議会・政府に及び、それが州の裁判所に及んでいる。</w:t>
      </w:r>
    </w:p>
    <w:p w14:paraId="64279F2F" w14:textId="271DB958" w:rsidR="00234B65" w:rsidRDefault="001F7A99" w:rsidP="001F7A99">
      <w:pPr>
        <w:rPr>
          <w:rFonts w:ascii="ＭＳ Ｐゴシック" w:eastAsia="ＭＳ Ｐゴシック" w:hAnsi="ＭＳ Ｐゴシック"/>
          <w:b/>
          <w:bCs/>
          <w:color w:val="FF0000"/>
        </w:rPr>
      </w:pPr>
      <w:r>
        <w:rPr>
          <w:rFonts w:ascii="ＭＳ Ｐゴシック" w:eastAsia="ＭＳ Ｐゴシック" w:hAnsi="ＭＳ Ｐゴシック" w:hint="eastAsia"/>
          <w:sz w:val="24"/>
          <w:szCs w:val="24"/>
        </w:rPr>
        <w:t>客観的なデータや科学的な根拠に基づく政策論議を憲法の解釈に則って公正に判断するという三権分立における本来の裁判所の役割が、トランプ前大統領時の立て続けの保守系判事任命による中絶違憲判断のような従来判断の立て続けの転換により、司法判断の政治化が進み、州にも及んでいるということなのであろう。</w:t>
      </w:r>
      <w:r w:rsidR="00234B65">
        <w:rPr>
          <w:rFonts w:ascii="ＭＳ Ｐゴシック" w:eastAsia="ＭＳ Ｐゴシック" w:hAnsi="ＭＳ Ｐゴシック"/>
          <w:b/>
          <w:bCs/>
          <w:color w:val="FF0000"/>
        </w:rPr>
        <w:br w:type="page"/>
      </w:r>
    </w:p>
    <w:p w14:paraId="68F51BB1" w14:textId="1CF8B6FC" w:rsidR="009361BB" w:rsidRPr="00272376" w:rsidRDefault="00272376" w:rsidP="009361BB">
      <w:pPr>
        <w:rPr>
          <w:rFonts w:ascii="ＭＳ Ｐゴシック" w:eastAsia="ＭＳ Ｐゴシック" w:hAnsi="ＭＳ Ｐゴシック"/>
          <w:b/>
          <w:bCs/>
          <w:sz w:val="24"/>
          <w:szCs w:val="24"/>
        </w:rPr>
      </w:pPr>
      <w:r w:rsidRPr="00272376">
        <w:rPr>
          <w:rFonts w:ascii="ＭＳ Ｐゴシック" w:eastAsia="ＭＳ Ｐゴシック" w:hAnsi="ＭＳ Ｐゴシック" w:hint="eastAsia"/>
          <w:b/>
          <w:bCs/>
          <w:sz w:val="24"/>
          <w:szCs w:val="24"/>
        </w:rPr>
        <w:lastRenderedPageBreak/>
        <w:t>別紙</w:t>
      </w:r>
      <w:r w:rsidR="00336104">
        <w:rPr>
          <w:rFonts w:ascii="ＭＳ Ｐゴシック" w:eastAsia="ＭＳ Ｐゴシック" w:hAnsi="ＭＳ Ｐゴシック" w:hint="eastAsia"/>
          <w:b/>
          <w:bCs/>
          <w:sz w:val="24"/>
          <w:szCs w:val="24"/>
        </w:rPr>
        <w:t>９</w:t>
      </w:r>
      <w:r w:rsidRPr="00272376">
        <w:rPr>
          <w:rFonts w:ascii="ＭＳ Ｐゴシック" w:eastAsia="ＭＳ Ｐゴシック" w:hAnsi="ＭＳ Ｐゴシック" w:hint="eastAsia"/>
          <w:b/>
          <w:bCs/>
          <w:sz w:val="24"/>
          <w:szCs w:val="24"/>
        </w:rPr>
        <w:t xml:space="preserve">　　</w:t>
      </w:r>
      <w:r w:rsidR="009361BB" w:rsidRPr="00272376">
        <w:rPr>
          <w:rFonts w:ascii="ＭＳ Ｐゴシック" w:eastAsia="ＭＳ Ｐゴシック" w:hAnsi="ＭＳ Ｐゴシック" w:hint="eastAsia"/>
          <w:b/>
          <w:bCs/>
          <w:sz w:val="24"/>
          <w:szCs w:val="24"/>
        </w:rPr>
        <w:t>歴史教育と次期大統領選</w:t>
      </w:r>
      <w:r w:rsidRPr="00272376">
        <w:rPr>
          <w:rFonts w:ascii="ＭＳ Ｐゴシック" w:eastAsia="ＭＳ Ｐゴシック" w:hAnsi="ＭＳ Ｐゴシック"/>
          <w:b/>
          <w:bCs/>
          <w:sz w:val="24"/>
          <w:szCs w:val="24"/>
        </w:rPr>
        <w:tab/>
      </w:r>
      <w:r w:rsidRPr="00272376">
        <w:rPr>
          <w:rFonts w:ascii="ＭＳ Ｐゴシック" w:eastAsia="ＭＳ Ｐゴシック" w:hAnsi="ＭＳ Ｐゴシック" w:hint="eastAsia"/>
          <w:b/>
          <w:bCs/>
          <w:sz w:val="24"/>
          <w:szCs w:val="24"/>
        </w:rPr>
        <w:t>ソース：　弊社ニュースレター</w:t>
      </w:r>
    </w:p>
    <w:p w14:paraId="232DBB7A" w14:textId="77777777" w:rsidR="00272376" w:rsidRPr="00272376" w:rsidRDefault="00272376" w:rsidP="009361BB">
      <w:pPr>
        <w:rPr>
          <w:rFonts w:ascii="ＭＳ Ｐゴシック" w:eastAsia="ＭＳ Ｐゴシック" w:hAnsi="ＭＳ Ｐゴシック"/>
          <w:b/>
          <w:bCs/>
          <w:color w:val="FF0000"/>
          <w:sz w:val="24"/>
          <w:szCs w:val="24"/>
        </w:rPr>
      </w:pPr>
    </w:p>
    <w:p w14:paraId="1E344BEA"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かねてより当ニュースレターで伝えた米国政治における</w:t>
      </w:r>
      <w:r>
        <w:rPr>
          <w:rFonts w:ascii="ＭＳ Ｐゴシック" w:eastAsia="ＭＳ Ｐゴシック" w:hAnsi="ＭＳ Ｐゴシック" w:hint="eastAsia"/>
          <w:b/>
          <w:bCs/>
          <w:sz w:val="24"/>
          <w:szCs w:val="24"/>
        </w:rPr>
        <w:t>黒人奴隷歴史問題が次期大統領選と絡みつつある</w:t>
      </w:r>
      <w:r>
        <w:rPr>
          <w:rFonts w:ascii="ＭＳ Ｐゴシック" w:eastAsia="ＭＳ Ｐゴシック" w:hAnsi="ＭＳ Ｐゴシック" w:hint="eastAsia"/>
          <w:sz w:val="24"/>
          <w:szCs w:val="24"/>
        </w:rPr>
        <w:t xml:space="preserve">様子をワシントンポストが報じた。　</w:t>
      </w:r>
    </w:p>
    <w:p w14:paraId="57511816"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7月21日、</w:t>
      </w:r>
      <w:r>
        <w:rPr>
          <w:rFonts w:ascii="ＭＳ Ｐゴシック" w:eastAsia="ＭＳ Ｐゴシック" w:hAnsi="ＭＳ Ｐゴシック" w:hint="eastAsia"/>
          <w:b/>
          <w:bCs/>
          <w:sz w:val="24"/>
          <w:szCs w:val="24"/>
        </w:rPr>
        <w:t>フロリダ州知事で共和党大統領予備選候補者のロン・デサンテス氏は「奴隷制度は一部の奴隷にはメリットがあった」と解釈するフロリダ州の新たな歴史教育基準を擁護する演説</w:t>
      </w:r>
      <w:r>
        <w:rPr>
          <w:rFonts w:ascii="ＭＳ Ｐゴシック" w:eastAsia="ＭＳ Ｐゴシック" w:hAnsi="ＭＳ Ｐゴシック" w:hint="eastAsia"/>
          <w:sz w:val="24"/>
          <w:szCs w:val="24"/>
        </w:rPr>
        <w:t>を行った。</w:t>
      </w:r>
    </w:p>
    <w:p w14:paraId="5D15FA27"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その数時間後には</w:t>
      </w:r>
      <w:r>
        <w:rPr>
          <w:rFonts w:ascii="ＭＳ Ｐゴシック" w:eastAsia="ＭＳ Ｐゴシック" w:hAnsi="ＭＳ Ｐゴシック" w:hint="eastAsia"/>
          <w:b/>
          <w:bCs/>
          <w:sz w:val="24"/>
          <w:szCs w:val="24"/>
        </w:rPr>
        <w:t>カマラ・ハリス副大統領が、そのような教育基準は捉え方のプロパガンダであると非難</w:t>
      </w:r>
      <w:r>
        <w:rPr>
          <w:rFonts w:ascii="ＭＳ Ｐゴシック" w:eastAsia="ＭＳ Ｐゴシック" w:hAnsi="ＭＳ Ｐゴシック" w:hint="eastAsia"/>
          <w:sz w:val="24"/>
          <w:szCs w:val="24"/>
        </w:rPr>
        <w:t xml:space="preserve">した。　</w:t>
      </w:r>
    </w:p>
    <w:p w14:paraId="2F2A952B"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そしてその4日後には</w:t>
      </w:r>
      <w:r>
        <w:rPr>
          <w:rFonts w:ascii="ＭＳ Ｐゴシック" w:eastAsia="ＭＳ Ｐゴシック" w:hAnsi="ＭＳ Ｐゴシック" w:hint="eastAsia"/>
          <w:b/>
          <w:bCs/>
          <w:sz w:val="24"/>
          <w:szCs w:val="24"/>
        </w:rPr>
        <w:t>バイデン大統領が1955年に惨殺された十代の黒人女性Emmett Tillを国家史跡と宣言し、そういった歴史を暗闇に葬り、無かったことにしようとする勢力を非難すると語った</w:t>
      </w:r>
      <w:r>
        <w:rPr>
          <w:rFonts w:ascii="ＭＳ Ｐゴシック" w:eastAsia="ＭＳ Ｐゴシック" w:hAnsi="ＭＳ Ｐゴシック" w:hint="eastAsia"/>
          <w:sz w:val="24"/>
          <w:szCs w:val="24"/>
        </w:rPr>
        <w:t xml:space="preserve">。　</w:t>
      </w:r>
    </w:p>
    <w:p w14:paraId="0FA954C9" w14:textId="3DB676F8"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トランプ前大統領は</w:t>
      </w:r>
      <w:r w:rsidR="00EB0B96">
        <w:rPr>
          <w:rFonts w:ascii="ＭＳ Ｐゴシック" w:eastAsia="ＭＳ Ｐゴシック" w:hAnsi="ＭＳ Ｐゴシック" w:hint="eastAsia"/>
          <w:b/>
          <w:bCs/>
          <w:sz w:val="24"/>
          <w:szCs w:val="24"/>
        </w:rPr>
        <w:t>デサンティス</w:t>
      </w:r>
      <w:r>
        <w:rPr>
          <w:rFonts w:ascii="ＭＳ Ｐゴシック" w:eastAsia="ＭＳ Ｐゴシック" w:hAnsi="ＭＳ Ｐゴシック" w:hint="eastAsia"/>
          <w:b/>
          <w:bCs/>
          <w:sz w:val="24"/>
          <w:szCs w:val="24"/>
        </w:rPr>
        <w:t>知事を攻撃しつつも、人種問題については</w:t>
      </w:r>
      <w:r w:rsidR="00EB0B96">
        <w:rPr>
          <w:rFonts w:ascii="ＭＳ Ｐゴシック" w:eastAsia="ＭＳ Ｐゴシック" w:hAnsi="ＭＳ Ｐゴシック" w:hint="eastAsia"/>
          <w:b/>
          <w:bCs/>
          <w:sz w:val="24"/>
          <w:szCs w:val="24"/>
        </w:rPr>
        <w:t>デサンティス</w:t>
      </w:r>
      <w:r>
        <w:rPr>
          <w:rFonts w:ascii="ＭＳ Ｐゴシック" w:eastAsia="ＭＳ Ｐゴシック" w:hAnsi="ＭＳ Ｐゴシック" w:hint="eastAsia"/>
          <w:b/>
          <w:bCs/>
          <w:sz w:val="24"/>
          <w:szCs w:val="24"/>
        </w:rPr>
        <w:t>と似たような歴史の枠組みを支持</w:t>
      </w:r>
      <w:r>
        <w:rPr>
          <w:rFonts w:ascii="ＭＳ Ｐゴシック" w:eastAsia="ＭＳ Ｐゴシック" w:hAnsi="ＭＳ Ｐゴシック" w:hint="eastAsia"/>
          <w:sz w:val="24"/>
          <w:szCs w:val="24"/>
        </w:rPr>
        <w:t xml:space="preserve">している。　</w:t>
      </w:r>
    </w:p>
    <w:p w14:paraId="6E266567"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こうした</w:t>
      </w:r>
      <w:r>
        <w:rPr>
          <w:rFonts w:ascii="ＭＳ Ｐゴシック" w:eastAsia="ＭＳ Ｐゴシック" w:hAnsi="ＭＳ Ｐゴシック" w:hint="eastAsia"/>
          <w:b/>
          <w:bCs/>
          <w:sz w:val="24"/>
          <w:szCs w:val="24"/>
        </w:rPr>
        <w:t>歴史の“政治化”は学校の歴史教育に及んでいる</w:t>
      </w:r>
      <w:r>
        <w:rPr>
          <w:rFonts w:ascii="ＭＳ Ｐゴシック" w:eastAsia="ＭＳ Ｐゴシック" w:hAnsi="ＭＳ Ｐゴシック" w:hint="eastAsia"/>
          <w:sz w:val="24"/>
          <w:szCs w:val="24"/>
        </w:rPr>
        <w:t xml:space="preserve">。　</w:t>
      </w:r>
    </w:p>
    <w:p w14:paraId="520D1E12"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米国の教育を研究する学者は、</w:t>
      </w:r>
      <w:r>
        <w:rPr>
          <w:rFonts w:ascii="ＭＳ Ｐゴシック" w:eastAsia="ＭＳ Ｐゴシック" w:hAnsi="ＭＳ Ｐゴシック" w:hint="eastAsia"/>
          <w:b/>
          <w:bCs/>
          <w:sz w:val="24"/>
          <w:szCs w:val="24"/>
        </w:rPr>
        <w:t>以前であれば歴史教育に関する議論は、歴史の物語にどこまで人物を登場させるかについてであったが、今はその物語自身のあり方について議論</w:t>
      </w:r>
      <w:r>
        <w:rPr>
          <w:rFonts w:ascii="ＭＳ Ｐゴシック" w:eastAsia="ＭＳ Ｐゴシック" w:hAnsi="ＭＳ Ｐゴシック" w:hint="eastAsia"/>
          <w:sz w:val="24"/>
          <w:szCs w:val="24"/>
        </w:rPr>
        <w:t>がなされ、アメリカとしての共通の物語が失われている、と警鐘を鳴らす。</w:t>
      </w:r>
    </w:p>
    <w:p w14:paraId="5C4789E7"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この影響は</w:t>
      </w:r>
      <w:r>
        <w:rPr>
          <w:rFonts w:ascii="ＭＳ Ｐゴシック" w:eastAsia="ＭＳ Ｐゴシック" w:hAnsi="ＭＳ Ｐゴシック" w:hint="eastAsia"/>
          <w:b/>
          <w:bCs/>
          <w:sz w:val="24"/>
          <w:szCs w:val="24"/>
        </w:rPr>
        <w:t>教師の失職、授業の自主検閲そして教科書出版会社の存続の危機にも及んでいる</w:t>
      </w:r>
      <w:r>
        <w:rPr>
          <w:rFonts w:ascii="ＭＳ Ｐゴシック" w:eastAsia="ＭＳ Ｐゴシック" w:hAnsi="ＭＳ Ｐゴシック" w:hint="eastAsia"/>
          <w:sz w:val="24"/>
          <w:szCs w:val="24"/>
        </w:rPr>
        <w:t>。</w:t>
      </w:r>
    </w:p>
    <w:p w14:paraId="3F825C4D"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地方の教育委員会の歴史教育の議論が州政府、そしてホワイトハウスを経て次期大統領選の論点にまで上り詰めている</w:t>
      </w:r>
      <w:r>
        <w:rPr>
          <w:rFonts w:ascii="ＭＳ Ｐゴシック" w:eastAsia="ＭＳ Ｐゴシック" w:hAnsi="ＭＳ Ｐゴシック" w:hint="eastAsia"/>
          <w:sz w:val="24"/>
          <w:szCs w:val="24"/>
        </w:rPr>
        <w:t>。</w:t>
      </w:r>
    </w:p>
    <w:p w14:paraId="071BD9B5" w14:textId="558CA92B" w:rsidR="009361BB" w:rsidRDefault="00EB0B96"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デサンティス</w:t>
      </w:r>
      <w:r w:rsidR="009361BB">
        <w:rPr>
          <w:rFonts w:ascii="ＭＳ Ｐゴシック" w:eastAsia="ＭＳ Ｐゴシック" w:hAnsi="ＭＳ Ｐゴシック" w:hint="eastAsia"/>
          <w:sz w:val="24"/>
          <w:szCs w:val="24"/>
        </w:rPr>
        <w:t xml:space="preserve">の言う奴隷のメリットとはなにがしかの技能を奴隷でいる間に身につけ、それがその後役に立っているという議論。　</w:t>
      </w:r>
    </w:p>
    <w:p w14:paraId="527B9F2A" w14:textId="114371AF"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同じ共和党から大統領予備選に立候補予定のティム・スコット上院議員（アフリカ系、サウスカロライナ州選出）は</w:t>
      </w:r>
      <w:r w:rsidR="00EB0B96">
        <w:rPr>
          <w:rFonts w:ascii="ＭＳ Ｐゴシック" w:eastAsia="ＭＳ Ｐゴシック" w:hAnsi="ＭＳ Ｐゴシック" w:hint="eastAsia"/>
          <w:b/>
          <w:bCs/>
          <w:sz w:val="24"/>
          <w:szCs w:val="24"/>
        </w:rPr>
        <w:t>デサンティス</w:t>
      </w:r>
      <w:r>
        <w:rPr>
          <w:rFonts w:ascii="ＭＳ Ｐゴシック" w:eastAsia="ＭＳ Ｐゴシック" w:hAnsi="ＭＳ Ｐゴシック" w:hint="eastAsia"/>
          <w:b/>
          <w:bCs/>
          <w:sz w:val="24"/>
          <w:szCs w:val="24"/>
        </w:rPr>
        <w:t>の歴史認識を非難</w:t>
      </w:r>
      <w:r>
        <w:rPr>
          <w:rFonts w:ascii="ＭＳ Ｐゴシック" w:eastAsia="ＭＳ Ｐゴシック" w:hAnsi="ＭＳ Ｐゴシック" w:hint="eastAsia"/>
          <w:sz w:val="24"/>
          <w:szCs w:val="24"/>
        </w:rPr>
        <w:t xml:space="preserve">している。　</w:t>
      </w:r>
    </w:p>
    <w:p w14:paraId="6B95E0C0"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今春、ワシントンポストとコンサルティング会社のIpsosが共同で行った世論調査では成人の回答者の半分強と黒人で成人の回答者の4分の3がアメリカの人種問題の歴史について公立学校で教育することを州政府が止めようとしていることに極端に或いは非常に懸念していると回答</w:t>
      </w:r>
      <w:r>
        <w:rPr>
          <w:rFonts w:ascii="ＭＳ Ｐゴシック" w:eastAsia="ＭＳ Ｐゴシック" w:hAnsi="ＭＳ Ｐゴシック" w:hint="eastAsia"/>
          <w:sz w:val="24"/>
          <w:szCs w:val="24"/>
        </w:rPr>
        <w:t>している。</w:t>
      </w:r>
    </w:p>
    <w:p w14:paraId="6FDC256D"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一方で</w:t>
      </w:r>
      <w:r>
        <w:rPr>
          <w:rFonts w:ascii="ＭＳ Ｐゴシック" w:eastAsia="ＭＳ Ｐゴシック" w:hAnsi="ＭＳ Ｐゴシック" w:hint="eastAsia"/>
          <w:b/>
          <w:bCs/>
          <w:sz w:val="24"/>
          <w:szCs w:val="24"/>
        </w:rPr>
        <w:t>党派色</w:t>
      </w:r>
      <w:r>
        <w:rPr>
          <w:rFonts w:ascii="ＭＳ Ｐゴシック" w:eastAsia="ＭＳ Ｐゴシック" w:hAnsi="ＭＳ Ｐゴシック" w:hint="eastAsia"/>
          <w:sz w:val="24"/>
          <w:szCs w:val="24"/>
        </w:rPr>
        <w:t xml:space="preserve">も出ている。　</w:t>
      </w:r>
    </w:p>
    <w:p w14:paraId="6B94B437"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奴隷制度がアメリカであったことは今日の黒人の人々にとって影響を与えていないと考える回答者は共和党支持層が民主党支持層より圧倒的に多い</w:t>
      </w:r>
      <w:r>
        <w:rPr>
          <w:rFonts w:ascii="ＭＳ Ｐゴシック" w:eastAsia="ＭＳ Ｐゴシック" w:hAnsi="ＭＳ Ｐゴシック" w:hint="eastAsia"/>
          <w:sz w:val="24"/>
          <w:szCs w:val="24"/>
        </w:rPr>
        <w:t xml:space="preserve">。　</w:t>
      </w:r>
    </w:p>
    <w:p w14:paraId="42D2984B"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専ら</w:t>
      </w:r>
      <w:r>
        <w:rPr>
          <w:rFonts w:ascii="ＭＳ Ｐゴシック" w:eastAsia="ＭＳ Ｐゴシック" w:hAnsi="ＭＳ Ｐゴシック" w:hint="eastAsia"/>
          <w:b/>
          <w:bCs/>
          <w:sz w:val="24"/>
          <w:szCs w:val="24"/>
        </w:rPr>
        <w:t>共和党の強い18の保守州は2021年以降、教育者が人種や歴史、人種差別について語って良いこと内容を制限する州法や政策を実現</w:t>
      </w:r>
      <w:r>
        <w:rPr>
          <w:rFonts w:ascii="ＭＳ Ｐゴシック" w:eastAsia="ＭＳ Ｐゴシック" w:hAnsi="ＭＳ Ｐゴシック" w:hint="eastAsia"/>
          <w:sz w:val="24"/>
          <w:szCs w:val="24"/>
        </w:rPr>
        <w:t xml:space="preserve">している。　</w:t>
      </w:r>
    </w:p>
    <w:p w14:paraId="242947E5"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その中でも</w:t>
      </w:r>
      <w:r>
        <w:rPr>
          <w:rFonts w:ascii="ＭＳ Ｐゴシック" w:eastAsia="ＭＳ Ｐゴシック" w:hAnsi="ＭＳ Ｐゴシック" w:hint="eastAsia"/>
          <w:b/>
          <w:bCs/>
          <w:sz w:val="24"/>
          <w:szCs w:val="24"/>
        </w:rPr>
        <w:t>フロリダ州他いくつかの州は人種についての不適切な言及のある授業や教科書は精査し又は排除</w:t>
      </w:r>
      <w:r>
        <w:rPr>
          <w:rFonts w:ascii="ＭＳ Ｐゴシック" w:eastAsia="ＭＳ Ｐゴシック" w:hAnsi="ＭＳ Ｐゴシック" w:hint="eastAsia"/>
          <w:sz w:val="24"/>
          <w:szCs w:val="24"/>
        </w:rPr>
        <w:t>している。</w:t>
      </w:r>
    </w:p>
    <w:p w14:paraId="5EB7DD14"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今年1月にはフロリダ州はアドバンストプレイスメント（高校の時点で大学の初期教育を施すもの）のパイロットコースからアフリカ系アメリカ人の歴史を除く決定</w:t>
      </w:r>
      <w:r>
        <w:rPr>
          <w:rFonts w:ascii="ＭＳ Ｐゴシック" w:eastAsia="ＭＳ Ｐゴシック" w:hAnsi="ＭＳ Ｐゴシック" w:hint="eastAsia"/>
          <w:sz w:val="24"/>
          <w:szCs w:val="24"/>
        </w:rPr>
        <w:t>をした。</w:t>
      </w:r>
    </w:p>
    <w:p w14:paraId="4EA92DA5"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理由は教育的価値がないためと。　</w:t>
      </w:r>
    </w:p>
    <w:p w14:paraId="4B48E390"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こうした歴史教育の政治的見直し、分断化の動きは</w:t>
      </w:r>
      <w:r>
        <w:rPr>
          <w:rFonts w:ascii="ＭＳ Ｐゴシック" w:eastAsia="ＭＳ Ｐゴシック" w:hAnsi="ＭＳ Ｐゴシック" w:hint="eastAsia"/>
          <w:b/>
          <w:bCs/>
          <w:sz w:val="24"/>
          <w:szCs w:val="24"/>
        </w:rPr>
        <w:t>トランプ前大統領の“Make America Great Again”の選挙公約的修辞と彼の政権中に生じたBlack Lives Matterのような人種差別問題に対するリベラルなムーブメントのぶつかり合いが背景にある</w:t>
      </w:r>
      <w:r>
        <w:rPr>
          <w:rFonts w:ascii="ＭＳ Ｐゴシック" w:eastAsia="ＭＳ Ｐゴシック" w:hAnsi="ＭＳ Ｐゴシック" w:hint="eastAsia"/>
          <w:sz w:val="24"/>
          <w:szCs w:val="24"/>
        </w:rPr>
        <w:t xml:space="preserve">という。　</w:t>
      </w:r>
    </w:p>
    <w:p w14:paraId="464EF63C" w14:textId="77777777" w:rsidR="009361BB" w:rsidRDefault="009361BB" w:rsidP="009361BB">
      <w:pPr>
        <w:rPr>
          <w:rFonts w:ascii="游ゴシック" w:eastAsia="游ゴシック" w:hAnsi="游ゴシック"/>
          <w:sz w:val="22"/>
        </w:rPr>
      </w:pPr>
      <w:r>
        <w:rPr>
          <w:rFonts w:ascii="ＭＳ Ｐゴシック" w:eastAsia="ＭＳ Ｐゴシック" w:hAnsi="ＭＳ Ｐゴシック" w:hint="eastAsia"/>
          <w:sz w:val="24"/>
          <w:szCs w:val="24"/>
        </w:rPr>
        <w:t>日本でも歴史教育が自虐史観に過ぎると保守サイドから圧力がかかることがあるが、今年、広島市の平和教育副教材から原爆の悲惨さを描いた漫画「はだしのゲン」が削除されるという動きも気になるところである。</w:t>
      </w:r>
    </w:p>
    <w:p w14:paraId="220EF74B" w14:textId="7C0761A1" w:rsidR="00C874CB" w:rsidRPr="009361BB" w:rsidRDefault="00C874CB" w:rsidP="003A5F13">
      <w:pPr>
        <w:pStyle w:val="Default"/>
        <w:rPr>
          <w:szCs w:val="21"/>
        </w:rPr>
      </w:pPr>
    </w:p>
    <w:p w14:paraId="1659CFC5" w14:textId="0E848752" w:rsidR="0045265B" w:rsidRDefault="0045265B">
      <w:pPr>
        <w:widowControl/>
        <w:jc w:val="left"/>
        <w:rPr>
          <w:rFonts w:ascii="ＭＳ 明朝" w:eastAsia="ＭＳ 明朝" w:cs="ＭＳ 明朝"/>
          <w:color w:val="000000"/>
          <w:kern w:val="0"/>
          <w:sz w:val="24"/>
          <w:szCs w:val="21"/>
        </w:rPr>
      </w:pPr>
      <w:r>
        <w:rPr>
          <w:szCs w:val="21"/>
        </w:rPr>
        <w:br w:type="page"/>
      </w:r>
    </w:p>
    <w:p w14:paraId="0DC03358" w14:textId="594F03CE" w:rsidR="00272376" w:rsidRPr="00272376" w:rsidRDefault="003C1C72" w:rsidP="00272376">
      <w:pPr>
        <w:pStyle w:val="Default"/>
        <w:rPr>
          <w:rFonts w:ascii="ＭＳ Ｐゴシック" w:eastAsia="ＭＳ Ｐゴシック" w:hAnsi="ＭＳ Ｐゴシック"/>
          <w:b/>
          <w:bCs/>
          <w:color w:val="auto"/>
        </w:rPr>
      </w:pPr>
      <w:r w:rsidRPr="00272376">
        <w:rPr>
          <w:rFonts w:hint="eastAsia"/>
          <w:b/>
          <w:color w:val="auto"/>
          <w:szCs w:val="21"/>
        </w:rPr>
        <w:lastRenderedPageBreak/>
        <w:t>別紙</w:t>
      </w:r>
      <w:r w:rsidR="00336104">
        <w:rPr>
          <w:rFonts w:hint="eastAsia"/>
          <w:b/>
          <w:color w:val="auto"/>
          <w:szCs w:val="21"/>
        </w:rPr>
        <w:t>10</w:t>
      </w:r>
      <w:r w:rsidRPr="00272376">
        <w:rPr>
          <w:rFonts w:hint="eastAsia"/>
          <w:b/>
          <w:color w:val="auto"/>
          <w:szCs w:val="21"/>
        </w:rPr>
        <w:t xml:space="preserve">　</w:t>
      </w:r>
      <w:r w:rsidR="00272376">
        <w:rPr>
          <w:rFonts w:hint="eastAsia"/>
          <w:b/>
          <w:color w:val="auto"/>
          <w:szCs w:val="21"/>
        </w:rPr>
        <w:t xml:space="preserve">　</w:t>
      </w:r>
      <w:r w:rsidR="009361BB" w:rsidRPr="00272376">
        <w:rPr>
          <w:rFonts w:ascii="ＭＳ Ｐゴシック" w:eastAsia="ＭＳ Ｐゴシック" w:hAnsi="ＭＳ Ｐゴシック" w:hint="eastAsia"/>
          <w:b/>
          <w:bCs/>
          <w:color w:val="auto"/>
        </w:rPr>
        <w:t>LGBTQに対する逆風が目立ちつつあるアメリカ</w:t>
      </w:r>
      <w:r w:rsidR="00272376" w:rsidRPr="00272376">
        <w:rPr>
          <w:rFonts w:ascii="ＭＳ Ｐゴシック" w:eastAsia="ＭＳ Ｐゴシック" w:hAnsi="ＭＳ Ｐゴシック" w:hint="eastAsia"/>
          <w:b/>
          <w:bCs/>
          <w:color w:val="auto"/>
        </w:rPr>
        <w:t xml:space="preserve">　</w:t>
      </w:r>
    </w:p>
    <w:p w14:paraId="786C151E" w14:textId="16351701" w:rsidR="009361BB" w:rsidRPr="00272376" w:rsidRDefault="00272376" w:rsidP="00272376">
      <w:pPr>
        <w:pStyle w:val="Default"/>
        <w:ind w:left="4200" w:firstLine="840"/>
        <w:rPr>
          <w:rFonts w:ascii="ＭＳ Ｐゴシック" w:eastAsia="ＭＳ Ｐゴシック" w:hAnsi="ＭＳ Ｐゴシック"/>
          <w:b/>
          <w:bCs/>
          <w:color w:val="auto"/>
        </w:rPr>
      </w:pPr>
      <w:r w:rsidRPr="00272376">
        <w:rPr>
          <w:rFonts w:ascii="ＭＳ Ｐゴシック" w:eastAsia="ＭＳ Ｐゴシック" w:hAnsi="ＭＳ Ｐゴシック" w:hint="eastAsia"/>
          <w:b/>
          <w:bCs/>
          <w:color w:val="auto"/>
        </w:rPr>
        <w:t>ソース：　弊社ニュースレター</w:t>
      </w:r>
    </w:p>
    <w:p w14:paraId="000D7602" w14:textId="77777777" w:rsidR="00272376" w:rsidRPr="00272376" w:rsidRDefault="00272376" w:rsidP="00272376">
      <w:pPr>
        <w:pStyle w:val="Default"/>
        <w:rPr>
          <w:b/>
          <w:szCs w:val="21"/>
        </w:rPr>
      </w:pPr>
    </w:p>
    <w:p w14:paraId="65731AEE"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アメリカでは</w:t>
      </w:r>
      <w:r>
        <w:rPr>
          <w:rFonts w:ascii="ＭＳ Ｐゴシック" w:eastAsia="ＭＳ Ｐゴシック" w:hAnsi="ＭＳ Ｐゴシック" w:hint="eastAsia"/>
          <w:b/>
          <w:bCs/>
          <w:sz w:val="24"/>
          <w:szCs w:val="24"/>
        </w:rPr>
        <w:t>６月にLGBTQの人々が集ってプライド</w:t>
      </w:r>
      <w:r>
        <w:rPr>
          <w:rFonts w:ascii="ＭＳ Ｐゴシック" w:eastAsia="ＭＳ Ｐゴシック" w:hAnsi="ＭＳ Ｐゴシック" w:hint="eastAsia"/>
          <w:sz w:val="24"/>
          <w:szCs w:val="24"/>
        </w:rPr>
        <w:t xml:space="preserve"> というパレードやお祭り的イベントが開催され、目印として</w:t>
      </w:r>
      <w:r>
        <w:rPr>
          <w:rFonts w:ascii="ＭＳ Ｐゴシック" w:eastAsia="ＭＳ Ｐゴシック" w:hAnsi="ＭＳ Ｐゴシック" w:hint="eastAsia"/>
          <w:b/>
          <w:bCs/>
          <w:sz w:val="24"/>
          <w:szCs w:val="24"/>
        </w:rPr>
        <w:t>虹色のプライドフラグ</w:t>
      </w:r>
      <w:r>
        <w:rPr>
          <w:rFonts w:ascii="ＭＳ Ｐゴシック" w:eastAsia="ＭＳ Ｐゴシック" w:hAnsi="ＭＳ Ｐゴシック" w:hint="eastAsia"/>
          <w:sz w:val="24"/>
          <w:szCs w:val="24"/>
        </w:rPr>
        <w:t>がその象徴となる。</w:t>
      </w:r>
    </w:p>
    <w:p w14:paraId="0BDD171F"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同性婚も合憲となり、LGBTQの人々にとって国と社会の理解が進み活動しやすくなっていると思っていたが、ここにきて共和党を中心とした反LGBTQの動きが米国全体に影響を及ぼしている</w:t>
      </w:r>
      <w:r>
        <w:rPr>
          <w:rFonts w:ascii="ＭＳ Ｐゴシック" w:eastAsia="ＭＳ Ｐゴシック" w:hAnsi="ＭＳ Ｐゴシック" w:hint="eastAsia"/>
          <w:sz w:val="24"/>
          <w:szCs w:val="24"/>
        </w:rPr>
        <w:t>様子をワシントンポストが伝えている。</w:t>
      </w:r>
    </w:p>
    <w:p w14:paraId="3BCCC100"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反LGBTQの急先鋒は次期大統領選共和党候補に名乗りを上げているフロリダ州のデサンティス知事</w:t>
      </w:r>
      <w:r>
        <w:rPr>
          <w:rFonts w:ascii="ＭＳ Ｐゴシック" w:eastAsia="ＭＳ Ｐゴシック" w:hAnsi="ＭＳ Ｐゴシック" w:hint="eastAsia"/>
          <w:sz w:val="24"/>
          <w:szCs w:val="24"/>
        </w:rPr>
        <w:t>で、すでに</w:t>
      </w:r>
      <w:r>
        <w:rPr>
          <w:rFonts w:ascii="ＭＳ Ｐゴシック" w:eastAsia="ＭＳ Ｐゴシック" w:hAnsi="ＭＳ Ｐゴシック" w:hint="eastAsia"/>
          <w:b/>
          <w:bCs/>
          <w:sz w:val="24"/>
          <w:szCs w:val="24"/>
        </w:rPr>
        <w:t>小学校で小学生に性の志向を尋ねることを禁じる州法を通している</w:t>
      </w:r>
      <w:r>
        <w:rPr>
          <w:rFonts w:ascii="ＭＳ Ｐゴシック" w:eastAsia="ＭＳ Ｐゴシック" w:hAnsi="ＭＳ Ｐゴシック" w:hint="eastAsia"/>
          <w:sz w:val="24"/>
          <w:szCs w:val="24"/>
        </w:rPr>
        <w:t>。</w:t>
      </w:r>
    </w:p>
    <w:p w14:paraId="3914F471"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共和党が与党となっている州議会ではゲイや性転換者の権利を制限する州法を次々に通している。</w:t>
      </w:r>
    </w:p>
    <w:p w14:paraId="73F26BEA"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ほぼ同じタイミングで</w:t>
      </w:r>
      <w:r>
        <w:rPr>
          <w:rFonts w:ascii="ＭＳ Ｐゴシック" w:eastAsia="ＭＳ Ｐゴシック" w:hAnsi="ＭＳ Ｐゴシック" w:hint="eastAsia"/>
          <w:b/>
          <w:bCs/>
          <w:sz w:val="24"/>
          <w:szCs w:val="24"/>
        </w:rPr>
        <w:t>LGBTQに対する世論も変化</w:t>
      </w:r>
      <w:r>
        <w:rPr>
          <w:rFonts w:ascii="ＭＳ Ｐゴシック" w:eastAsia="ＭＳ Ｐゴシック" w:hAnsi="ＭＳ Ｐゴシック" w:hint="eastAsia"/>
          <w:sz w:val="24"/>
          <w:szCs w:val="24"/>
        </w:rPr>
        <w:t xml:space="preserve">している。　</w:t>
      </w:r>
    </w:p>
    <w:p w14:paraId="3622DA2F"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プライドのプログラムに子供向けのものがあったり、官公庁の建物にプライドの旗がたなびくのを見たりするとき、「行き過ぎ」と感じる人が多いようである。</w:t>
      </w:r>
    </w:p>
    <w:p w14:paraId="7218FF62"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昨年のギャラップの世論調査で同性婚を支持する割合が71％であったのに対し、最近の調査では64％にまで低下、その大きな原因が共和党支持層の変化で、56％から41％にまで一気に下降</w:t>
      </w:r>
      <w:r>
        <w:rPr>
          <w:rFonts w:ascii="ＭＳ Ｐゴシック" w:eastAsia="ＭＳ Ｐゴシック" w:hAnsi="ＭＳ Ｐゴシック" w:hint="eastAsia"/>
          <w:sz w:val="24"/>
          <w:szCs w:val="24"/>
        </w:rPr>
        <w:t>している。</w:t>
      </w:r>
    </w:p>
    <w:p w14:paraId="440A494A"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別のギャラップの調査では</w:t>
      </w:r>
      <w:r>
        <w:rPr>
          <w:rFonts w:ascii="ＭＳ Ｐゴシック" w:eastAsia="ＭＳ Ｐゴシック" w:hAnsi="ＭＳ Ｐゴシック" w:hint="eastAsia"/>
          <w:b/>
          <w:bCs/>
          <w:sz w:val="24"/>
          <w:szCs w:val="24"/>
        </w:rPr>
        <w:t>共和党支持層の55％が、「同性婚が合法であることは社会にとって良くない」と回答</w:t>
      </w:r>
      <w:r>
        <w:rPr>
          <w:rFonts w:ascii="ＭＳ Ｐゴシック" w:eastAsia="ＭＳ Ｐゴシック" w:hAnsi="ＭＳ Ｐゴシック" w:hint="eastAsia"/>
          <w:sz w:val="24"/>
          <w:szCs w:val="24"/>
        </w:rPr>
        <w:t>している。</w:t>
      </w:r>
    </w:p>
    <w:p w14:paraId="59AA6AEE"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キリスト教信者のグラフィックアーチストが同性婚のカップル向けの結婚式用のウェブサイトづくりに反対したことに対する訴訟に関し、最高裁は6月30日被告の判断を支持する判決</w:t>
      </w:r>
      <w:r>
        <w:rPr>
          <w:rFonts w:ascii="ＭＳ Ｐゴシック" w:eastAsia="ＭＳ Ｐゴシック" w:hAnsi="ＭＳ Ｐゴシック" w:hint="eastAsia"/>
          <w:sz w:val="24"/>
          <w:szCs w:val="24"/>
        </w:rPr>
        <w:t>を言い渡している。</w:t>
      </w:r>
    </w:p>
    <w:p w14:paraId="79D51E80"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次期大統領選共和党候補者の本命のトランプ前大統領は同性婚に特に政治的興味は持っていない</w:t>
      </w:r>
      <w:r>
        <w:rPr>
          <w:rFonts w:ascii="ＭＳ Ｐゴシック" w:eastAsia="ＭＳ Ｐゴシック" w:hAnsi="ＭＳ Ｐゴシック" w:hint="eastAsia"/>
          <w:sz w:val="24"/>
          <w:szCs w:val="24"/>
        </w:rPr>
        <w:t>という。</w:t>
      </w:r>
    </w:p>
    <w:p w14:paraId="7FFFFFDE"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ただ、</w:t>
      </w:r>
      <w:r>
        <w:rPr>
          <w:rFonts w:ascii="ＭＳ Ｐゴシック" w:eastAsia="ＭＳ Ｐゴシック" w:hAnsi="ＭＳ Ｐゴシック" w:hint="eastAsia"/>
          <w:b/>
          <w:bCs/>
          <w:sz w:val="24"/>
          <w:szCs w:val="24"/>
        </w:rPr>
        <w:t>前回2020年の大統領選ではトランプ・プライドという提携をLGBTQ支援組織と交わしてはいた</w:t>
      </w:r>
      <w:r>
        <w:rPr>
          <w:rFonts w:ascii="ＭＳ Ｐゴシック" w:eastAsia="ＭＳ Ｐゴシック" w:hAnsi="ＭＳ Ｐゴシック" w:hint="eastAsia"/>
          <w:sz w:val="24"/>
          <w:szCs w:val="24"/>
        </w:rPr>
        <w:t>。</w:t>
      </w:r>
    </w:p>
    <w:p w14:paraId="1B07F318"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彼は政治の世界に入る前には性転換者への支援も公言していた</w:t>
      </w:r>
      <w:r>
        <w:rPr>
          <w:rFonts w:ascii="ＭＳ Ｐゴシック" w:eastAsia="ＭＳ Ｐゴシック" w:hAnsi="ＭＳ Ｐゴシック" w:hint="eastAsia"/>
          <w:sz w:val="24"/>
          <w:szCs w:val="24"/>
        </w:rPr>
        <w:t>ことがある。</w:t>
      </w:r>
    </w:p>
    <w:p w14:paraId="1B05948C"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次期大統領予備選立候補を公表している前副大統領のマイク・ペンスは大リーグのドジャーズがプライドのイベントで球場に女装の男性同性愛者を迎えたことを非難</w:t>
      </w:r>
      <w:r>
        <w:rPr>
          <w:rFonts w:ascii="ＭＳ Ｐゴシック" w:eastAsia="ＭＳ Ｐゴシック" w:hAnsi="ＭＳ Ｐゴシック" w:hint="eastAsia"/>
          <w:sz w:val="24"/>
          <w:szCs w:val="24"/>
        </w:rPr>
        <w:t>しているが、</w:t>
      </w:r>
      <w:r>
        <w:rPr>
          <w:rFonts w:ascii="ＭＳ Ｐゴシック" w:eastAsia="ＭＳ Ｐゴシック" w:hAnsi="ＭＳ Ｐゴシック" w:hint="eastAsia"/>
          <w:b/>
          <w:bCs/>
          <w:sz w:val="24"/>
          <w:szCs w:val="24"/>
        </w:rPr>
        <w:t>同性婚を否定するところまではいっていない</w:t>
      </w:r>
      <w:r>
        <w:rPr>
          <w:rFonts w:ascii="ＭＳ Ｐゴシック" w:eastAsia="ＭＳ Ｐゴシック" w:hAnsi="ＭＳ Ｐゴシック" w:hint="eastAsia"/>
          <w:sz w:val="24"/>
          <w:szCs w:val="24"/>
        </w:rPr>
        <w:t>。</w:t>
      </w:r>
    </w:p>
    <w:p w14:paraId="40207482"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共和党自身はLGBTQの支援組織と連携してきているが、上記のような政治の風向きの中でどこまで表立って連携を維持していくか慎重に検討している</w:t>
      </w:r>
      <w:r>
        <w:rPr>
          <w:rFonts w:ascii="ＭＳ Ｐゴシック" w:eastAsia="ＭＳ Ｐゴシック" w:hAnsi="ＭＳ Ｐゴシック" w:hint="eastAsia"/>
          <w:sz w:val="24"/>
          <w:szCs w:val="24"/>
        </w:rPr>
        <w:t>ようである。</w:t>
      </w:r>
    </w:p>
    <w:p w14:paraId="38227B2A"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同様に予備選立候補を検討している</w:t>
      </w:r>
      <w:r>
        <w:rPr>
          <w:rFonts w:ascii="ＭＳ Ｐゴシック" w:eastAsia="ＭＳ Ｐゴシック" w:hAnsi="ＭＳ Ｐゴシック" w:hint="eastAsia"/>
          <w:b/>
          <w:bCs/>
          <w:sz w:val="24"/>
          <w:szCs w:val="24"/>
        </w:rPr>
        <w:t>ティム・スコット上院議員（サウスカロライナ州選出）もドジャーズのイベントを「恥ずかしく、胸がむかむかする」と非難</w:t>
      </w:r>
      <w:r>
        <w:rPr>
          <w:rFonts w:ascii="ＭＳ Ｐゴシック" w:eastAsia="ＭＳ Ｐゴシック" w:hAnsi="ＭＳ Ｐゴシック" w:hint="eastAsia"/>
          <w:sz w:val="24"/>
          <w:szCs w:val="24"/>
        </w:rPr>
        <w:t>した。</w:t>
      </w:r>
    </w:p>
    <w:p w14:paraId="1DDBCF3B"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lastRenderedPageBreak/>
        <w:t>彼は同性婚を連邦法の中に組み込む昨年の法制化に反対票を投じている</w:t>
      </w:r>
      <w:r>
        <w:rPr>
          <w:rFonts w:ascii="ＭＳ Ｐゴシック" w:eastAsia="ＭＳ Ｐゴシック" w:hAnsi="ＭＳ Ｐゴシック" w:hint="eastAsia"/>
          <w:sz w:val="24"/>
          <w:szCs w:val="24"/>
        </w:rPr>
        <w:t>。</w:t>
      </w:r>
    </w:p>
    <w:p w14:paraId="14A9BD2A"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LGBTQの活動が度を過ぎて目立ち始めていることへのマナー的な抵抗感ということなら健全だが、圧倒的な数の保守系判事により構成される最高裁を背景に保守陣営が大胆な発言をしているということなら不健全とも思える。</w:t>
      </w:r>
    </w:p>
    <w:p w14:paraId="4ECAA69C"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日本では毎年5月の連休の頃に代々木公園でLGBTQのイベントとプライドのパレードが開催され、認知も高まっており、先月23日にLGBTQの理解増進を目的とする法律が施行されたところにある。</w:t>
      </w:r>
    </w:p>
    <w:p w14:paraId="4F668AE8"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日本では同性婚には婚姻の法的保護がなされていない現状に関する違憲訴訟が各地でなされているなか、地方裁判所では5件、違憲判決が出されている。</w:t>
      </w:r>
    </w:p>
    <w:p w14:paraId="2BEBD720" w14:textId="77777777" w:rsidR="009361BB" w:rsidRDefault="009361BB" w:rsidP="009361BB">
      <w:pPr>
        <w:rPr>
          <w:rFonts w:ascii="游ゴシック" w:eastAsia="游ゴシック" w:hAnsi="游ゴシック"/>
          <w:sz w:val="22"/>
        </w:rPr>
      </w:pPr>
    </w:p>
    <w:p w14:paraId="49D47D00" w14:textId="77777777" w:rsidR="003C1C72" w:rsidRPr="009361BB" w:rsidRDefault="003C1C72" w:rsidP="003A5F13">
      <w:pPr>
        <w:pStyle w:val="Default"/>
        <w:rPr>
          <w:szCs w:val="21"/>
        </w:rPr>
      </w:pPr>
    </w:p>
    <w:p w14:paraId="75578270" w14:textId="77777777" w:rsidR="007E6CBB" w:rsidRDefault="007E6CBB">
      <w:pPr>
        <w:widowControl/>
        <w:jc w:val="left"/>
        <w:rPr>
          <w:rFonts w:ascii="ＭＳ 明朝" w:eastAsia="ＭＳ 明朝" w:cs="ＭＳ 明朝"/>
          <w:b/>
          <w:color w:val="000000"/>
          <w:kern w:val="0"/>
          <w:sz w:val="24"/>
          <w:szCs w:val="21"/>
        </w:rPr>
      </w:pPr>
      <w:r>
        <w:rPr>
          <w:b/>
          <w:szCs w:val="21"/>
        </w:rPr>
        <w:br w:type="page"/>
      </w:r>
    </w:p>
    <w:p w14:paraId="758814E0" w14:textId="3C47F66A" w:rsidR="00E72F56" w:rsidRPr="00272376" w:rsidRDefault="00E72F56" w:rsidP="00272376">
      <w:pPr>
        <w:rPr>
          <w:rFonts w:ascii="ＭＳ Ｐゴシック" w:eastAsia="ＭＳ Ｐゴシック" w:hAnsi="ＭＳ Ｐゴシック"/>
          <w:sz w:val="24"/>
          <w:szCs w:val="24"/>
        </w:rPr>
      </w:pPr>
      <w:r w:rsidRPr="00272376">
        <w:rPr>
          <w:rFonts w:hint="eastAsia"/>
          <w:b/>
          <w:szCs w:val="21"/>
        </w:rPr>
        <w:lastRenderedPageBreak/>
        <w:t>別紙</w:t>
      </w:r>
      <w:r w:rsidR="00336104">
        <w:rPr>
          <w:rFonts w:hint="eastAsia"/>
          <w:b/>
          <w:szCs w:val="21"/>
        </w:rPr>
        <w:t>11</w:t>
      </w:r>
      <w:r w:rsidRPr="00272376">
        <w:rPr>
          <w:b/>
          <w:szCs w:val="21"/>
        </w:rPr>
        <w:tab/>
      </w:r>
      <w:r w:rsidR="00272376" w:rsidRPr="00272376">
        <w:rPr>
          <w:rFonts w:ascii="ＭＳ Ｐゴシック" w:eastAsia="ＭＳ Ｐゴシック" w:hAnsi="ＭＳ Ｐゴシック" w:hint="eastAsia"/>
          <w:b/>
          <w:bCs/>
          <w:sz w:val="24"/>
          <w:szCs w:val="24"/>
        </w:rPr>
        <w:t>米最高裁の立て続けの保守的判断の行方</w:t>
      </w:r>
      <w:r w:rsidR="00272376" w:rsidRPr="00272376">
        <w:rPr>
          <w:rFonts w:ascii="ＭＳ Ｐゴシック" w:eastAsia="ＭＳ Ｐゴシック" w:hAnsi="ＭＳ Ｐゴシック" w:hint="eastAsia"/>
          <w:sz w:val="24"/>
          <w:szCs w:val="24"/>
        </w:rPr>
        <w:t xml:space="preserve">　</w:t>
      </w:r>
      <w:r w:rsidRPr="00272376">
        <w:rPr>
          <w:rFonts w:hint="eastAsia"/>
          <w:b/>
          <w:bCs/>
          <w:szCs w:val="21"/>
        </w:rPr>
        <w:t xml:space="preserve">ソース：　</w:t>
      </w:r>
      <w:r w:rsidR="00272376" w:rsidRPr="00272376">
        <w:rPr>
          <w:rFonts w:hint="eastAsia"/>
          <w:b/>
          <w:bCs/>
          <w:szCs w:val="21"/>
        </w:rPr>
        <w:t>弊社ニュースレター</w:t>
      </w:r>
    </w:p>
    <w:p w14:paraId="3FECF6E5" w14:textId="77777777" w:rsidR="00272376" w:rsidRDefault="00272376" w:rsidP="009361BB">
      <w:pPr>
        <w:rPr>
          <w:rFonts w:ascii="ＭＳ Ｐゴシック" w:eastAsia="ＭＳ Ｐゴシック" w:hAnsi="ＭＳ Ｐゴシック"/>
          <w:b/>
          <w:bCs/>
          <w:sz w:val="24"/>
          <w:szCs w:val="24"/>
        </w:rPr>
      </w:pPr>
    </w:p>
    <w:p w14:paraId="46E1A7AB" w14:textId="365397A2"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米国の最高裁判事</w:t>
      </w:r>
      <w:r>
        <w:rPr>
          <w:rFonts w:ascii="ＭＳ Ｐゴシック" w:eastAsia="ＭＳ Ｐゴシック" w:hAnsi="ＭＳ Ｐゴシック" w:hint="eastAsia"/>
          <w:sz w:val="24"/>
          <w:szCs w:val="24"/>
        </w:rPr>
        <w:t xml:space="preserve">は自ら引退を表明するか、何らかの理由で弾劾されることが無ければ終身である。　</w:t>
      </w:r>
    </w:p>
    <w:p w14:paraId="59EA2F39"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トランプ前大統領の任期中に、たまたま3人の最高裁判事が死亡乃至引退したため、トランプはNeil Gorsuch, Brett KavanaughおよびAmy Coney Barrettの3人の保守系判事を選抜</w:t>
      </w:r>
      <w:r>
        <w:rPr>
          <w:rFonts w:ascii="ＭＳ Ｐゴシック" w:eastAsia="ＭＳ Ｐゴシック" w:hAnsi="ＭＳ Ｐゴシック" w:hint="eastAsia"/>
          <w:sz w:val="24"/>
          <w:szCs w:val="24"/>
        </w:rPr>
        <w:t xml:space="preserve">し議会の承認を得ている。　</w:t>
      </w:r>
    </w:p>
    <w:p w14:paraId="08229153"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その結果、9人の最高裁判事のうち6人が共和党大統領の選抜による保守系で、残り3人が民主党系</w:t>
      </w:r>
      <w:r>
        <w:rPr>
          <w:rFonts w:ascii="ＭＳ Ｐゴシック" w:eastAsia="ＭＳ Ｐゴシック" w:hAnsi="ＭＳ Ｐゴシック" w:hint="eastAsia"/>
          <w:sz w:val="24"/>
          <w:szCs w:val="24"/>
        </w:rPr>
        <w:t>となっている。</w:t>
      </w:r>
    </w:p>
    <w:p w14:paraId="312DDB0B" w14:textId="77777777" w:rsidR="009361BB" w:rsidRDefault="009361BB" w:rsidP="009361BB">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この保守系への大きな偏りは、昨年の中絶違憲訴訟で従来の合憲判断を覆す結果</w:t>
      </w:r>
      <w:r>
        <w:rPr>
          <w:rFonts w:ascii="ＭＳ Ｐゴシック" w:eastAsia="ＭＳ Ｐゴシック" w:hAnsi="ＭＳ Ｐゴシック" w:hint="eastAsia"/>
          <w:sz w:val="24"/>
          <w:szCs w:val="24"/>
        </w:rPr>
        <w:t>をもたらし、それがひいては</w:t>
      </w:r>
      <w:r>
        <w:rPr>
          <w:rFonts w:ascii="ＭＳ Ｐゴシック" w:eastAsia="ＭＳ Ｐゴシック" w:hAnsi="ＭＳ Ｐゴシック" w:hint="eastAsia"/>
          <w:b/>
          <w:bCs/>
          <w:sz w:val="24"/>
          <w:szCs w:val="24"/>
        </w:rPr>
        <w:t xml:space="preserve">女性の選択権を重視する民主党系支持層の問題意識を高め、昨年の中間選挙での民主党の大いなる善戦につながった。　</w:t>
      </w:r>
    </w:p>
    <w:p w14:paraId="4739102F"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この最高裁が</w:t>
      </w:r>
      <w:r>
        <w:rPr>
          <w:rFonts w:ascii="ＭＳ Ｐゴシック" w:eastAsia="ＭＳ Ｐゴシック" w:hAnsi="ＭＳ Ｐゴシック" w:hint="eastAsia"/>
          <w:b/>
          <w:bCs/>
          <w:sz w:val="24"/>
          <w:szCs w:val="24"/>
        </w:rPr>
        <w:t>最近も立て続けに３つの大きな“保守的”判断</w:t>
      </w:r>
      <w:r>
        <w:rPr>
          <w:rFonts w:ascii="ＭＳ Ｐゴシック" w:eastAsia="ＭＳ Ｐゴシック" w:hAnsi="ＭＳ Ｐゴシック" w:hint="eastAsia"/>
          <w:sz w:val="24"/>
          <w:szCs w:val="24"/>
        </w:rPr>
        <w:t xml:space="preserve">を下した。　</w:t>
      </w:r>
    </w:p>
    <w:p w14:paraId="732EB715"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１つは大学入試でのマイノリティ枠を設けるいわゆるアファーマティブアクションに対し違憲であるとの判断を示したこと</w:t>
      </w:r>
      <w:r>
        <w:rPr>
          <w:rFonts w:ascii="ＭＳ Ｐゴシック" w:eastAsia="ＭＳ Ｐゴシック" w:hAnsi="ＭＳ Ｐゴシック" w:hint="eastAsia"/>
          <w:sz w:val="24"/>
          <w:szCs w:val="24"/>
        </w:rPr>
        <w:t>。</w:t>
      </w:r>
    </w:p>
    <w:p w14:paraId="6232A2ED"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次が本ニュースレター1つ目の記事で触れた、キリスト教信者のグラフィックアーチストが同性婚のカップル向けの結婚式用のウェブサイトづくりに反対したことが合憲との判断</w:t>
      </w:r>
      <w:r>
        <w:rPr>
          <w:rFonts w:ascii="ＭＳ Ｐゴシック" w:eastAsia="ＭＳ Ｐゴシック" w:hAnsi="ＭＳ Ｐゴシック" w:hint="eastAsia"/>
          <w:sz w:val="24"/>
          <w:szCs w:val="24"/>
        </w:rPr>
        <w:t xml:space="preserve">。　</w:t>
      </w:r>
    </w:p>
    <w:p w14:paraId="4BA15981"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そして</w:t>
      </w:r>
      <w:r>
        <w:rPr>
          <w:rFonts w:ascii="ＭＳ Ｐゴシック" w:eastAsia="ＭＳ Ｐゴシック" w:hAnsi="ＭＳ Ｐゴシック" w:hint="eastAsia"/>
          <w:b/>
          <w:bCs/>
          <w:sz w:val="24"/>
          <w:szCs w:val="24"/>
        </w:rPr>
        <w:t>3つ目がバイデン政権による学生ローンの返済免除を行おうとしていることに対し、大統領にその権限はないとの判断</w:t>
      </w:r>
      <w:r>
        <w:rPr>
          <w:rFonts w:ascii="ＭＳ Ｐゴシック" w:eastAsia="ＭＳ Ｐゴシック" w:hAnsi="ＭＳ Ｐゴシック" w:hint="eastAsia"/>
          <w:sz w:val="24"/>
          <w:szCs w:val="24"/>
        </w:rPr>
        <w:t xml:space="preserve">である。　</w:t>
      </w:r>
    </w:p>
    <w:p w14:paraId="07F389ED"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1つ目の判決が出た際にバイデン大統領は「今の最高裁は正常な裁判所ではない」と発言している。　</w:t>
      </w:r>
    </w:p>
    <w:p w14:paraId="24FEF755"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一方、</w:t>
      </w:r>
      <w:r>
        <w:rPr>
          <w:rFonts w:ascii="ＭＳ Ｐゴシック" w:eastAsia="ＭＳ Ｐゴシック" w:hAnsi="ＭＳ Ｐゴシック" w:hint="eastAsia"/>
          <w:b/>
          <w:bCs/>
          <w:sz w:val="24"/>
          <w:szCs w:val="24"/>
        </w:rPr>
        <w:t>この保守系判事が大多数を占める最高裁を利用して保守系の人々が州での選挙区割りを有利に進めようとするための選挙区に関するいくつかの訴え行っていることに対し、それを退けるという判断をロバート主判事が示しており、最高裁の6人の保守系判事の中での左右の別れも生じているとワシントンポストは記している</w:t>
      </w:r>
      <w:r>
        <w:rPr>
          <w:rFonts w:ascii="ＭＳ Ｐゴシック" w:eastAsia="ＭＳ Ｐゴシック" w:hAnsi="ＭＳ Ｐゴシック" w:hint="eastAsia"/>
          <w:sz w:val="24"/>
          <w:szCs w:val="24"/>
        </w:rPr>
        <w:t xml:space="preserve">。　</w:t>
      </w:r>
    </w:p>
    <w:p w14:paraId="64632E20" w14:textId="77777777" w:rsidR="009361BB" w:rsidRDefault="009361BB" w:rsidP="009361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今回の判決の結果は学生ローンの免除を公約に掲げていたバイデン大統領の再選の選挙戦を不利にするとの論調が日本のメディアでは見られるが、中絶違憲判断同様、学生やマイノリティの怒りの矛先は最高裁とその判事を任命した共和党に向かい、来年の選挙での民主党支持層の投票率増と言う形でバイデンと議会民主党を有利にするのではないかと筆者は現時点では考える。</w:t>
      </w:r>
    </w:p>
    <w:p w14:paraId="10BEA0C1" w14:textId="5FB166DD" w:rsidR="0024654C" w:rsidRDefault="0024654C">
      <w:pPr>
        <w:widowControl/>
        <w:jc w:val="left"/>
        <w:rPr>
          <w:szCs w:val="21"/>
        </w:rPr>
      </w:pPr>
      <w:r>
        <w:rPr>
          <w:szCs w:val="21"/>
        </w:rPr>
        <w:br w:type="page"/>
      </w:r>
    </w:p>
    <w:p w14:paraId="0F1C3658" w14:textId="2A88CA32" w:rsidR="0024654C" w:rsidRPr="00272376" w:rsidRDefault="0024654C" w:rsidP="00272376">
      <w:pPr>
        <w:jc w:val="left"/>
        <w:rPr>
          <w:sz w:val="24"/>
          <w:szCs w:val="24"/>
        </w:rPr>
      </w:pPr>
      <w:r w:rsidRPr="00336104">
        <w:rPr>
          <w:rFonts w:hint="eastAsia"/>
          <w:b/>
          <w:bCs/>
          <w:sz w:val="24"/>
          <w:szCs w:val="24"/>
        </w:rPr>
        <w:lastRenderedPageBreak/>
        <w:t>別紙</w:t>
      </w:r>
      <w:r w:rsidR="00336104" w:rsidRPr="00336104">
        <w:rPr>
          <w:rFonts w:hint="eastAsia"/>
          <w:b/>
          <w:bCs/>
          <w:sz w:val="24"/>
          <w:szCs w:val="24"/>
        </w:rPr>
        <w:t>12</w:t>
      </w:r>
      <w:r w:rsidR="00272376">
        <w:rPr>
          <w:rFonts w:hint="eastAsia"/>
          <w:sz w:val="24"/>
          <w:szCs w:val="24"/>
        </w:rPr>
        <w:t xml:space="preserve">　</w:t>
      </w:r>
      <w:r w:rsidR="00272376" w:rsidRPr="00272376">
        <w:rPr>
          <w:rFonts w:hint="eastAsia"/>
          <w:sz w:val="24"/>
          <w:szCs w:val="24"/>
        </w:rPr>
        <w:t xml:space="preserve">　</w:t>
      </w:r>
      <w:r w:rsidRPr="00272376">
        <w:rPr>
          <w:rFonts w:ascii="ＭＳ Ｐゴシック" w:eastAsia="ＭＳ Ｐゴシック" w:hAnsi="ＭＳ Ｐゴシック" w:hint="eastAsia"/>
          <w:b/>
          <w:bCs/>
          <w:sz w:val="24"/>
          <w:szCs w:val="24"/>
        </w:rPr>
        <w:t>6月19日を祝日として祝う米国</w:t>
      </w:r>
      <w:r w:rsidR="00272376" w:rsidRPr="00272376">
        <w:rPr>
          <w:rFonts w:ascii="ＭＳ Ｐゴシック" w:eastAsia="ＭＳ Ｐゴシック" w:hAnsi="ＭＳ Ｐゴシック"/>
          <w:b/>
          <w:bCs/>
          <w:sz w:val="24"/>
          <w:szCs w:val="24"/>
        </w:rPr>
        <w:tab/>
      </w:r>
      <w:r w:rsidR="00272376" w:rsidRPr="00272376">
        <w:rPr>
          <w:rFonts w:ascii="ＭＳ Ｐゴシック" w:eastAsia="ＭＳ Ｐゴシック" w:hAnsi="ＭＳ Ｐゴシック" w:hint="eastAsia"/>
          <w:b/>
          <w:bCs/>
          <w:sz w:val="24"/>
          <w:szCs w:val="24"/>
        </w:rPr>
        <w:t>ソース：　弊社ニュースレター</w:t>
      </w:r>
    </w:p>
    <w:p w14:paraId="3F578C38" w14:textId="77777777" w:rsidR="00272376" w:rsidRDefault="00272376" w:rsidP="0024654C">
      <w:pPr>
        <w:rPr>
          <w:rFonts w:ascii="ＭＳ Ｐゴシック" w:eastAsia="ＭＳ Ｐゴシック" w:hAnsi="ＭＳ Ｐゴシック"/>
          <w:b/>
          <w:bCs/>
          <w:sz w:val="24"/>
          <w:szCs w:val="24"/>
        </w:rPr>
      </w:pPr>
    </w:p>
    <w:p w14:paraId="485D96B9" w14:textId="06E2A16D" w:rsidR="0024654C" w:rsidRDefault="0024654C" w:rsidP="0024654C">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今週月曜日の6月19日はJuneteenthと呼ばれ、アメリカの黒人奴隷解放を祝う記念日として2021年に国民の休日として法律で定められている。　</w:t>
      </w:r>
    </w:p>
    <w:p w14:paraId="496C1F5B"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6月のJuneと19日のnineteenthを組み合わせた造語である。</w:t>
      </w:r>
    </w:p>
    <w:p w14:paraId="53FBD254" w14:textId="77777777" w:rsidR="0024654C" w:rsidRDefault="0024654C" w:rsidP="0024654C">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Black Lives Matter運動のきっかけとなったミネソタ州ミネアポリスでの警官のよるジョージ・フロイド取り調べ中の暴行殺害事件の後に制定された法律に基づく全米の休日</w:t>
      </w:r>
      <w:r>
        <w:rPr>
          <w:rFonts w:ascii="ＭＳ Ｐゴシック" w:eastAsia="ＭＳ Ｐゴシック" w:hAnsi="ＭＳ Ｐゴシック" w:hint="eastAsia"/>
          <w:sz w:val="24"/>
          <w:szCs w:val="24"/>
        </w:rPr>
        <w:t>である。</w:t>
      </w:r>
    </w:p>
    <w:p w14:paraId="7EC0CC69"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1863年にリンカーン大統領が行った奴隷解放宣言</w:t>
      </w:r>
      <w:r>
        <w:rPr>
          <w:rFonts w:ascii="ＭＳ Ｐゴシック" w:eastAsia="ＭＳ Ｐゴシック" w:hAnsi="ＭＳ Ｐゴシック" w:hint="eastAsia"/>
          <w:sz w:val="24"/>
          <w:szCs w:val="24"/>
        </w:rPr>
        <w:t>の後も、</w:t>
      </w:r>
      <w:r>
        <w:rPr>
          <w:rFonts w:ascii="ＭＳ Ｐゴシック" w:eastAsia="ＭＳ Ｐゴシック" w:hAnsi="ＭＳ Ｐゴシック" w:hint="eastAsia"/>
          <w:b/>
          <w:bCs/>
          <w:sz w:val="24"/>
          <w:szCs w:val="24"/>
        </w:rPr>
        <w:t>テキサス州のような南部同盟州では黒人の奴隷使用は継続されていたが、南北戦争に勝利した北部諸州の軍がテキサス州ガルベストンに入り、25万人もの黒人奴隷を解放したのが1865年の6月19日であった</w:t>
      </w:r>
      <w:r>
        <w:rPr>
          <w:rFonts w:ascii="ＭＳ Ｐゴシック" w:eastAsia="ＭＳ Ｐゴシック" w:hAnsi="ＭＳ Ｐゴシック" w:hint="eastAsia"/>
          <w:sz w:val="24"/>
          <w:szCs w:val="24"/>
        </w:rPr>
        <w:t xml:space="preserve">ための6月19日である。　</w:t>
      </w:r>
    </w:p>
    <w:p w14:paraId="456EC790"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アメリカで国家として奴隷を違憲としたのはその年のもっと後の合衆国憲法修正第13条が批准されてから</w:t>
      </w:r>
      <w:r>
        <w:rPr>
          <w:rFonts w:ascii="ＭＳ Ｐゴシック" w:eastAsia="ＭＳ Ｐゴシック" w:hAnsi="ＭＳ Ｐゴシック" w:hint="eastAsia"/>
          <w:sz w:val="24"/>
          <w:szCs w:val="24"/>
        </w:rPr>
        <w:t xml:space="preserve">となる。　</w:t>
      </w:r>
    </w:p>
    <w:p w14:paraId="45EABD0C"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その5年後には黒人に参政権が与えられたが、奴隷解放から100年後のマーチンルーサーキング牧師の公民権運動まで様々な差別が続いてきたことはご承知の通りである。　</w:t>
      </w:r>
    </w:p>
    <w:p w14:paraId="5963581D"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全米50州のうち、28州でJuneteenthは州の休日として定められている</w:t>
      </w:r>
      <w:r>
        <w:rPr>
          <w:rFonts w:ascii="ＭＳ Ｐゴシック" w:eastAsia="ＭＳ Ｐゴシック" w:hAnsi="ＭＳ Ｐゴシック" w:hint="eastAsia"/>
          <w:sz w:val="24"/>
          <w:szCs w:val="24"/>
        </w:rPr>
        <w:t xml:space="preserve">。　</w:t>
      </w:r>
    </w:p>
    <w:p w14:paraId="533839CF"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奴隷解放がなされたテキサス州では他州にさきがけ1980年に州の休日に認定</w:t>
      </w:r>
      <w:r>
        <w:rPr>
          <w:rFonts w:ascii="ＭＳ Ｐゴシック" w:eastAsia="ＭＳ Ｐゴシック" w:hAnsi="ＭＳ Ｐゴシック" w:hint="eastAsia"/>
          <w:sz w:val="24"/>
          <w:szCs w:val="24"/>
        </w:rPr>
        <w:t xml:space="preserve">していた。　</w:t>
      </w:r>
    </w:p>
    <w:p w14:paraId="2F0E9BE8"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これらの州では6月19日の休日をバーベキューなどの飲食のフェスティバルとして祝うが、共通項は</w:t>
      </w:r>
      <w:r>
        <w:rPr>
          <w:rFonts w:ascii="ＭＳ Ｐゴシック" w:eastAsia="ＭＳ Ｐゴシック" w:hAnsi="ＭＳ Ｐゴシック" w:hint="eastAsia"/>
          <w:b/>
          <w:bCs/>
          <w:sz w:val="24"/>
          <w:szCs w:val="24"/>
        </w:rPr>
        <w:t>赤い飲み物で祝う</w:t>
      </w:r>
      <w:r>
        <w:rPr>
          <w:rFonts w:ascii="ＭＳ Ｐゴシック" w:eastAsia="ＭＳ Ｐゴシック" w:hAnsi="ＭＳ Ｐゴシック" w:hint="eastAsia"/>
          <w:sz w:val="24"/>
          <w:szCs w:val="24"/>
        </w:rPr>
        <w:t xml:space="preserve">ことにあるという。　これは奴隷として血の汗を流してきたことに由来するとワシントンポストの記事には記されている。　</w:t>
      </w:r>
    </w:p>
    <w:p w14:paraId="5E7FE7B9"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連邦議会民主党では折々に黒人を奴隷としてきたことへの損害賠償をその子孫家族に行うべきという議論が出てきている。　</w:t>
      </w:r>
    </w:p>
    <w:p w14:paraId="6BE9993E" w14:textId="77777777" w:rsidR="0024654C" w:rsidRDefault="0024654C" w:rsidP="0024654C">
      <w:pPr>
        <w:rPr>
          <w:rFonts w:ascii="游ゴシック" w:eastAsia="游ゴシック" w:hAnsi="游ゴシック"/>
          <w:sz w:val="22"/>
        </w:rPr>
      </w:pPr>
      <w:r>
        <w:rPr>
          <w:rFonts w:ascii="ＭＳ Ｐゴシック" w:eastAsia="ＭＳ Ｐゴシック" w:hAnsi="ＭＳ Ｐゴシック" w:hint="eastAsia"/>
          <w:sz w:val="24"/>
          <w:szCs w:val="24"/>
        </w:rPr>
        <w:t>有権者の約１３％を占める黒人にとってのJuneteenthの休日化の次の政治テーマがそれなのかもしれない。</w:t>
      </w:r>
    </w:p>
    <w:p w14:paraId="5F4AA660" w14:textId="7E072B53" w:rsidR="0024654C" w:rsidRDefault="0024654C">
      <w:pPr>
        <w:widowControl/>
        <w:jc w:val="left"/>
        <w:rPr>
          <w:szCs w:val="21"/>
        </w:rPr>
      </w:pPr>
      <w:r>
        <w:rPr>
          <w:szCs w:val="21"/>
        </w:rPr>
        <w:br w:type="page"/>
      </w:r>
    </w:p>
    <w:p w14:paraId="5055F799" w14:textId="1732B308" w:rsidR="0024654C" w:rsidRDefault="0024654C" w:rsidP="00336104">
      <w:pPr>
        <w:jc w:val="left"/>
        <w:rPr>
          <w:rFonts w:ascii="ＭＳ Ｐゴシック" w:eastAsia="ＭＳ Ｐゴシック" w:hAnsi="ＭＳ Ｐゴシック"/>
          <w:b/>
          <w:bCs/>
          <w:sz w:val="24"/>
          <w:szCs w:val="24"/>
        </w:rPr>
      </w:pPr>
      <w:r w:rsidRPr="00336104">
        <w:rPr>
          <w:rFonts w:hint="eastAsia"/>
          <w:b/>
          <w:bCs/>
          <w:szCs w:val="21"/>
        </w:rPr>
        <w:lastRenderedPageBreak/>
        <w:t>別紙</w:t>
      </w:r>
      <w:r w:rsidR="00336104" w:rsidRPr="00336104">
        <w:rPr>
          <w:rFonts w:hint="eastAsia"/>
          <w:b/>
          <w:bCs/>
          <w:szCs w:val="21"/>
        </w:rPr>
        <w:t>13</w:t>
      </w:r>
      <w:r w:rsidR="00336104" w:rsidRPr="00336104">
        <w:rPr>
          <w:rFonts w:hint="eastAsia"/>
          <w:b/>
          <w:bCs/>
          <w:szCs w:val="21"/>
        </w:rPr>
        <w:t xml:space="preserve">　</w:t>
      </w:r>
      <w:r w:rsidRPr="00336104">
        <w:rPr>
          <w:rFonts w:ascii="ＭＳ Ｐゴシック" w:eastAsia="ＭＳ Ｐゴシック" w:hAnsi="ＭＳ Ｐゴシック" w:hint="eastAsia"/>
          <w:b/>
          <w:bCs/>
          <w:sz w:val="24"/>
          <w:szCs w:val="24"/>
        </w:rPr>
        <w:t>デサンティス　フロリダ州知事　vs.　ウォルトディズニー</w:t>
      </w:r>
    </w:p>
    <w:p w14:paraId="229956B5" w14:textId="6FA02DC6" w:rsidR="00336104" w:rsidRPr="00336104" w:rsidRDefault="00336104" w:rsidP="00336104">
      <w:pPr>
        <w:jc w:val="right"/>
        <w:rPr>
          <w:b/>
          <w:bCs/>
          <w:szCs w:val="21"/>
        </w:rPr>
      </w:pPr>
      <w:r w:rsidRPr="00272376">
        <w:rPr>
          <w:rFonts w:ascii="ＭＳ Ｐゴシック" w:eastAsia="ＭＳ Ｐゴシック" w:hAnsi="ＭＳ Ｐゴシック" w:hint="eastAsia"/>
          <w:b/>
          <w:bCs/>
          <w:sz w:val="24"/>
          <w:szCs w:val="24"/>
        </w:rPr>
        <w:t>ソース：　弊社ニュースレター</w:t>
      </w:r>
    </w:p>
    <w:p w14:paraId="0D08996D" w14:textId="77777777" w:rsidR="0024654C" w:rsidRDefault="0024654C" w:rsidP="0024654C">
      <w:pPr>
        <w:rPr>
          <w:rFonts w:ascii="ＭＳ Ｐゴシック" w:eastAsia="ＭＳ Ｐゴシック" w:hAnsi="ＭＳ Ｐゴシック"/>
          <w:sz w:val="24"/>
          <w:szCs w:val="24"/>
        </w:rPr>
      </w:pPr>
    </w:p>
    <w:p w14:paraId="1DF2B335"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次期共和党大統領候補選への立候補が取りざたされ、トランプ前大統領に次いで人気の高いデサンティス　フロリダ州知事がウォルトディズニー社と対立</w:t>
      </w:r>
      <w:r>
        <w:rPr>
          <w:rFonts w:ascii="ＭＳ Ｐゴシック" w:eastAsia="ＭＳ Ｐゴシック" w:hAnsi="ＭＳ Ｐゴシック" w:hint="eastAsia"/>
          <w:sz w:val="24"/>
          <w:szCs w:val="24"/>
        </w:rPr>
        <w:t>している様子をワシントンポストが報じた。</w:t>
      </w:r>
    </w:p>
    <w:p w14:paraId="02D1AC1C"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ディズニーのボブ・アイガーCEO</w:t>
      </w:r>
      <w:r>
        <w:rPr>
          <w:rFonts w:ascii="ＭＳ Ｐゴシック" w:eastAsia="ＭＳ Ｐゴシック" w:hAnsi="ＭＳ Ｐゴシック" w:hint="eastAsia"/>
          <w:sz w:val="24"/>
          <w:szCs w:val="24"/>
        </w:rPr>
        <w:t>が4月3日の年次株主総会で話した内容によると、</w:t>
      </w:r>
      <w:r>
        <w:rPr>
          <w:rFonts w:ascii="ＭＳ Ｐゴシック" w:eastAsia="ＭＳ Ｐゴシック" w:hAnsi="ＭＳ Ｐゴシック" w:hint="eastAsia"/>
          <w:b/>
          <w:bCs/>
          <w:sz w:val="24"/>
          <w:szCs w:val="24"/>
        </w:rPr>
        <w:t>デサンティス知事はディズニー社のフロリダ州における新たな土地使用契約の調査を命じ、それが知事による同社への報復措置</w:t>
      </w:r>
      <w:r>
        <w:rPr>
          <w:rFonts w:ascii="ＭＳ Ｐゴシック" w:eastAsia="ＭＳ Ｐゴシック" w:hAnsi="ＭＳ Ｐゴシック" w:hint="eastAsia"/>
          <w:sz w:val="24"/>
          <w:szCs w:val="24"/>
        </w:rPr>
        <w:t>であるとの認識を示している。</w:t>
      </w:r>
    </w:p>
    <w:p w14:paraId="40C455F6"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ことの発端は</w:t>
      </w:r>
      <w:r>
        <w:rPr>
          <w:rFonts w:ascii="ＭＳ Ｐゴシック" w:eastAsia="ＭＳ Ｐゴシック" w:hAnsi="ＭＳ Ｐゴシック" w:hint="eastAsia"/>
          <w:b/>
          <w:bCs/>
          <w:sz w:val="24"/>
          <w:szCs w:val="24"/>
        </w:rPr>
        <w:t>デサンティス知事が2022年に小学校でグレード３（日本の小学校の3年生）以下の生徒が教室で自らの性の認識について語ることを禁じる「教育における親権に関するフロリダ州法」を提案</w:t>
      </w:r>
      <w:r>
        <w:rPr>
          <w:rFonts w:ascii="ＭＳ Ｐゴシック" w:eastAsia="ＭＳ Ｐゴシック" w:hAnsi="ＭＳ Ｐゴシック" w:hint="eastAsia"/>
          <w:sz w:val="24"/>
          <w:szCs w:val="24"/>
        </w:rPr>
        <w:t>したことに遡る。</w:t>
      </w:r>
      <w:r>
        <w:rPr>
          <w:rFonts w:ascii="ＭＳ Ｐゴシック" w:eastAsia="ＭＳ Ｐゴシック" w:hAnsi="ＭＳ Ｐゴシック" w:hint="eastAsia"/>
          <w:b/>
          <w:bCs/>
          <w:sz w:val="24"/>
          <w:szCs w:val="24"/>
        </w:rPr>
        <w:t>反対派からLGBTの子供を傷つけるものであると批判が生じた</w:t>
      </w:r>
      <w:r>
        <w:rPr>
          <w:rFonts w:ascii="ＭＳ Ｐゴシック" w:eastAsia="ＭＳ Ｐゴシック" w:hAnsi="ＭＳ Ｐゴシック" w:hint="eastAsia"/>
          <w:sz w:val="24"/>
          <w:szCs w:val="24"/>
        </w:rPr>
        <w:t>。</w:t>
      </w:r>
    </w:p>
    <w:p w14:paraId="47228327"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このとき</w:t>
      </w:r>
      <w:r>
        <w:rPr>
          <w:rFonts w:ascii="ＭＳ Ｐゴシック" w:eastAsia="ＭＳ Ｐゴシック" w:hAnsi="ＭＳ Ｐゴシック" w:hint="eastAsia"/>
          <w:b/>
          <w:bCs/>
          <w:sz w:val="24"/>
          <w:szCs w:val="24"/>
        </w:rPr>
        <w:t>ウォルトディズニー社はこの法案に真っ向から反対</w:t>
      </w:r>
      <w:r>
        <w:rPr>
          <w:rFonts w:ascii="ＭＳ Ｐゴシック" w:eastAsia="ＭＳ Ｐゴシック" w:hAnsi="ＭＳ Ｐゴシック" w:hint="eastAsia"/>
          <w:sz w:val="24"/>
          <w:szCs w:val="24"/>
        </w:rPr>
        <w:t>している。</w:t>
      </w:r>
    </w:p>
    <w:p w14:paraId="120E5646"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その後、</w:t>
      </w:r>
      <w:r>
        <w:rPr>
          <w:rFonts w:ascii="ＭＳ Ｐゴシック" w:eastAsia="ＭＳ Ｐゴシック" w:hAnsi="ＭＳ Ｐゴシック" w:hint="eastAsia"/>
          <w:b/>
          <w:bCs/>
          <w:sz w:val="24"/>
          <w:szCs w:val="24"/>
        </w:rPr>
        <w:t>知事はフロリダのディズニーワールドの敷地を監督する委員会のコントロールを握ろうと州議会に働きかけた</w:t>
      </w:r>
      <w:r>
        <w:rPr>
          <w:rFonts w:ascii="ＭＳ Ｐゴシック" w:eastAsia="ＭＳ Ｐゴシック" w:hAnsi="ＭＳ Ｐゴシック" w:hint="eastAsia"/>
          <w:sz w:val="24"/>
          <w:szCs w:val="24"/>
        </w:rPr>
        <w:t xml:space="preserve">。　</w:t>
      </w:r>
    </w:p>
    <w:p w14:paraId="4B106C82"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最終的に</w:t>
      </w:r>
      <w:r>
        <w:rPr>
          <w:rFonts w:ascii="ＭＳ Ｐゴシック" w:eastAsia="ＭＳ Ｐゴシック" w:hAnsi="ＭＳ Ｐゴシック" w:hint="eastAsia"/>
          <w:b/>
          <w:bCs/>
          <w:sz w:val="24"/>
          <w:szCs w:val="24"/>
        </w:rPr>
        <w:t>デサンティス知事のコントロールの及ぶ委員会が成立する前に、フロリダ州とディズニー社の間の土地利用契約の延長が合意</w:t>
      </w:r>
      <w:r>
        <w:rPr>
          <w:rFonts w:ascii="ＭＳ Ｐゴシック" w:eastAsia="ＭＳ Ｐゴシック" w:hAnsi="ＭＳ Ｐゴシック" w:hint="eastAsia"/>
          <w:sz w:val="24"/>
          <w:szCs w:val="24"/>
        </w:rPr>
        <w:t xml:space="preserve">された。　</w:t>
      </w:r>
    </w:p>
    <w:p w14:paraId="501F9017"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期間は</w:t>
      </w:r>
      <w:r>
        <w:rPr>
          <w:rFonts w:ascii="ＭＳ Ｐゴシック" w:eastAsia="ＭＳ Ｐゴシック" w:hAnsi="ＭＳ Ｐゴシック" w:hint="eastAsia"/>
          <w:b/>
          <w:bCs/>
          <w:sz w:val="24"/>
          <w:szCs w:val="24"/>
        </w:rPr>
        <w:t>「イングランド国王チャールズ３世の最後の子孫の最後の生き残りが亡くなってから21年経つまで</w:t>
      </w:r>
      <w:r>
        <w:rPr>
          <w:rFonts w:ascii="ＭＳ Ｐゴシック" w:eastAsia="ＭＳ Ｐゴシック" w:hAnsi="ＭＳ Ｐゴシック" w:hint="eastAsia"/>
          <w:sz w:val="24"/>
          <w:szCs w:val="24"/>
        </w:rPr>
        <w:t>」となっている。</w:t>
      </w:r>
    </w:p>
    <w:p w14:paraId="65E7AC87"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b/>
          <w:bCs/>
          <w:sz w:val="24"/>
          <w:szCs w:val="24"/>
        </w:rPr>
        <w:t>デサンティス知事は州政府を通じ4つの法律事務所を起用し、この皇族条項から同州を切り離す方法を検討させている</w:t>
      </w:r>
      <w:r>
        <w:rPr>
          <w:rFonts w:ascii="ＭＳ Ｐゴシック" w:eastAsia="ＭＳ Ｐゴシック" w:hAnsi="ＭＳ Ｐゴシック" w:hint="eastAsia"/>
          <w:sz w:val="24"/>
          <w:szCs w:val="24"/>
        </w:rPr>
        <w:t xml:space="preserve">。　</w:t>
      </w:r>
    </w:p>
    <w:p w14:paraId="03D29FA6"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加えて、</w:t>
      </w:r>
      <w:r>
        <w:rPr>
          <w:rFonts w:ascii="ＭＳ Ｐゴシック" w:eastAsia="ＭＳ Ｐゴシック" w:hAnsi="ＭＳ Ｐゴシック" w:hint="eastAsia"/>
          <w:b/>
          <w:bCs/>
          <w:sz w:val="24"/>
          <w:szCs w:val="24"/>
        </w:rPr>
        <w:t>知事は州の主任監察官に対し、このディズニーとの契約を徹底して見直し、調査するように命じた</w:t>
      </w:r>
      <w:r>
        <w:rPr>
          <w:rFonts w:ascii="ＭＳ Ｐゴシック" w:eastAsia="ＭＳ Ｐゴシック" w:hAnsi="ＭＳ Ｐゴシック" w:hint="eastAsia"/>
          <w:sz w:val="24"/>
          <w:szCs w:val="24"/>
        </w:rPr>
        <w:t xml:space="preserve">。　</w:t>
      </w:r>
    </w:p>
    <w:p w14:paraId="4243464C"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この動きに対し、</w:t>
      </w:r>
      <w:r>
        <w:rPr>
          <w:rFonts w:ascii="ＭＳ Ｐゴシック" w:eastAsia="ＭＳ Ｐゴシック" w:hAnsi="ＭＳ Ｐゴシック" w:hint="eastAsia"/>
          <w:b/>
          <w:bCs/>
          <w:sz w:val="24"/>
          <w:szCs w:val="24"/>
        </w:rPr>
        <w:t>アイガーCEOは知事の態度が反ビジネスであるだけでなく、反フロリダである</w:t>
      </w:r>
      <w:r>
        <w:rPr>
          <w:rFonts w:ascii="ＭＳ Ｐゴシック" w:eastAsia="ＭＳ Ｐゴシック" w:hAnsi="ＭＳ Ｐゴシック" w:hint="eastAsia"/>
          <w:sz w:val="24"/>
          <w:szCs w:val="24"/>
        </w:rPr>
        <w:t>と語った。</w:t>
      </w:r>
    </w:p>
    <w:p w14:paraId="29ECA4C8"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一方、</w:t>
      </w:r>
      <w:r>
        <w:rPr>
          <w:rFonts w:ascii="ＭＳ Ｐゴシック" w:eastAsia="ＭＳ Ｐゴシック" w:hAnsi="ＭＳ Ｐゴシック" w:hint="eastAsia"/>
          <w:b/>
          <w:bCs/>
          <w:sz w:val="24"/>
          <w:szCs w:val="24"/>
        </w:rPr>
        <w:t>フロリダ州知事の報道官は、「フロリダ州内にある企業は合衆国憲法修正第一条の権利（言論、出版の自由など）はあるが、政府を自ら運営する権利やフロリダ州法で規制することを超えて事業を行う権利は持たない」とコメント</w:t>
      </w:r>
      <w:r>
        <w:rPr>
          <w:rFonts w:ascii="ＭＳ Ｐゴシック" w:eastAsia="ＭＳ Ｐゴシック" w:hAnsi="ＭＳ Ｐゴシック" w:hint="eastAsia"/>
          <w:sz w:val="24"/>
          <w:szCs w:val="24"/>
        </w:rPr>
        <w:t xml:space="preserve">している。　</w:t>
      </w:r>
    </w:p>
    <w:p w14:paraId="767A57F5" w14:textId="77777777" w:rsidR="0024654C" w:rsidRDefault="0024654C" w:rsidP="0024654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ビジネスに対し強権を発動気味のデサンティス知事が今月日本を訪問するというが、大統領候補としての外交面の下準備をしつつ、フロリダ州に日本のビジネス投資を呼び込もうとするのか注目される。</w:t>
      </w:r>
    </w:p>
    <w:p w14:paraId="4E8D40E6" w14:textId="77777777" w:rsidR="0024654C" w:rsidRDefault="0024654C" w:rsidP="0024654C">
      <w:pPr>
        <w:rPr>
          <w:rFonts w:ascii="游ゴシック" w:eastAsia="游ゴシック" w:hAnsi="游ゴシック"/>
          <w:sz w:val="22"/>
        </w:rPr>
      </w:pPr>
    </w:p>
    <w:p w14:paraId="210E51ED" w14:textId="77777777" w:rsidR="0024654C" w:rsidRPr="0024654C" w:rsidRDefault="0024654C" w:rsidP="00E72F56">
      <w:pPr>
        <w:jc w:val="left"/>
        <w:rPr>
          <w:szCs w:val="21"/>
        </w:rPr>
      </w:pPr>
    </w:p>
    <w:sectPr w:rsidR="0024654C" w:rsidRPr="0024654C">
      <w:headerReference w:type="default" r:id="rId16"/>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FECC" w14:textId="77777777" w:rsidR="0097330D" w:rsidRDefault="0097330D" w:rsidP="00EE06B3">
      <w:r>
        <w:separator/>
      </w:r>
    </w:p>
  </w:endnote>
  <w:endnote w:type="continuationSeparator" w:id="0">
    <w:p w14:paraId="5F5CBFE5" w14:textId="77777777" w:rsidR="0097330D" w:rsidRDefault="0097330D" w:rsidP="00EE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490929"/>
      <w:docPartObj>
        <w:docPartGallery w:val="Page Numbers (Bottom of Page)"/>
        <w:docPartUnique/>
      </w:docPartObj>
    </w:sdtPr>
    <w:sdtContent>
      <w:p w14:paraId="7654B2D4" w14:textId="2EEFC970" w:rsidR="00283CC6" w:rsidRDefault="00283CC6">
        <w:pPr>
          <w:pStyle w:val="a6"/>
          <w:jc w:val="right"/>
        </w:pPr>
        <w:r>
          <w:fldChar w:fldCharType="begin"/>
        </w:r>
        <w:r>
          <w:instrText>PAGE   \* MERGEFORMAT</w:instrText>
        </w:r>
        <w:r>
          <w:fldChar w:fldCharType="separate"/>
        </w:r>
        <w:r>
          <w:rPr>
            <w:lang w:val="ja-JP"/>
          </w:rPr>
          <w:t>2</w:t>
        </w:r>
        <w:r>
          <w:fldChar w:fldCharType="end"/>
        </w:r>
      </w:p>
    </w:sdtContent>
  </w:sdt>
  <w:p w14:paraId="60A850FC" w14:textId="77777777" w:rsidR="00283CC6" w:rsidRDefault="00283C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C4B9" w14:textId="77777777" w:rsidR="0097330D" w:rsidRDefault="0097330D" w:rsidP="00EE06B3">
      <w:r>
        <w:separator/>
      </w:r>
    </w:p>
  </w:footnote>
  <w:footnote w:type="continuationSeparator" w:id="0">
    <w:p w14:paraId="635BBD76" w14:textId="77777777" w:rsidR="0097330D" w:rsidRDefault="0097330D" w:rsidP="00EE06B3">
      <w:r>
        <w:continuationSeparator/>
      </w:r>
    </w:p>
  </w:footnote>
  <w:footnote w:id="1">
    <w:p w14:paraId="6A0691D9" w14:textId="72270705" w:rsidR="00B55464" w:rsidRPr="00B55464" w:rsidRDefault="00B55464">
      <w:pPr>
        <w:pStyle w:val="aa"/>
        <w:rPr>
          <w:sz w:val="16"/>
          <w:szCs w:val="16"/>
        </w:rPr>
      </w:pPr>
      <w:r w:rsidRPr="00B55464">
        <w:rPr>
          <w:rStyle w:val="ac"/>
          <w:sz w:val="16"/>
          <w:szCs w:val="16"/>
        </w:rPr>
        <w:footnoteRef/>
      </w:r>
      <w:r>
        <w:rPr>
          <w:rStyle w:val="ac"/>
          <w:sz w:val="16"/>
          <w:szCs w:val="16"/>
        </w:rPr>
        <w:t xml:space="preserve"> </w:t>
      </w:r>
      <w:r w:rsidRPr="00B55464">
        <w:rPr>
          <w:sz w:val="16"/>
          <w:szCs w:val="16"/>
        </w:rPr>
        <w:t>Carbon Disclosure Project</w:t>
      </w:r>
    </w:p>
  </w:footnote>
  <w:footnote w:id="2">
    <w:p w14:paraId="13A38B0D" w14:textId="178D86E1" w:rsidR="00CB5371" w:rsidRPr="00B55464" w:rsidRDefault="00CB5371">
      <w:pPr>
        <w:pStyle w:val="aa"/>
        <w:rPr>
          <w:sz w:val="16"/>
          <w:szCs w:val="16"/>
        </w:rPr>
      </w:pPr>
      <w:r w:rsidRPr="00B55464">
        <w:rPr>
          <w:rStyle w:val="ac"/>
          <w:sz w:val="16"/>
          <w:szCs w:val="16"/>
        </w:rPr>
        <w:footnoteRef/>
      </w:r>
      <w:r w:rsidRPr="00B55464">
        <w:rPr>
          <w:sz w:val="16"/>
          <w:szCs w:val="16"/>
        </w:rPr>
        <w:t xml:space="preserve"> Task Force on Climate-Related Financial Disclosures</w:t>
      </w:r>
    </w:p>
  </w:footnote>
  <w:footnote w:id="3">
    <w:p w14:paraId="059B0750" w14:textId="303E364B" w:rsidR="00B55464" w:rsidRPr="00B55464" w:rsidRDefault="00B55464">
      <w:pPr>
        <w:pStyle w:val="aa"/>
        <w:rPr>
          <w:sz w:val="16"/>
          <w:szCs w:val="16"/>
        </w:rPr>
      </w:pPr>
      <w:r w:rsidRPr="00B55464">
        <w:rPr>
          <w:rStyle w:val="ac"/>
          <w:sz w:val="16"/>
          <w:szCs w:val="16"/>
        </w:rPr>
        <w:footnoteRef/>
      </w:r>
      <w:r w:rsidRPr="00B55464">
        <w:rPr>
          <w:sz w:val="16"/>
          <w:szCs w:val="16"/>
        </w:rPr>
        <w:t xml:space="preserve"> Science Based Targets initiative</w:t>
      </w:r>
    </w:p>
  </w:footnote>
  <w:footnote w:id="4">
    <w:p w14:paraId="24F13203" w14:textId="5E7FDCED" w:rsidR="00235B31" w:rsidRPr="00235B31" w:rsidRDefault="00235B31">
      <w:pPr>
        <w:pStyle w:val="aa"/>
        <w:rPr>
          <w:sz w:val="16"/>
          <w:szCs w:val="16"/>
        </w:rPr>
      </w:pPr>
      <w:r w:rsidRPr="00235B31">
        <w:rPr>
          <w:rStyle w:val="ac"/>
          <w:sz w:val="16"/>
          <w:szCs w:val="16"/>
        </w:rPr>
        <w:footnoteRef/>
      </w:r>
      <w:r w:rsidRPr="00235B31">
        <w:rPr>
          <w:sz w:val="16"/>
          <w:szCs w:val="16"/>
        </w:rPr>
        <w:t xml:space="preserve"> Diversity, Equity and Inclusion</w:t>
      </w:r>
    </w:p>
  </w:footnote>
  <w:footnote w:id="5">
    <w:p w14:paraId="78C06E0A" w14:textId="189E0CA2" w:rsidR="0062540B" w:rsidRPr="0062540B" w:rsidRDefault="0062540B">
      <w:pPr>
        <w:pStyle w:val="aa"/>
        <w:rPr>
          <w:sz w:val="16"/>
          <w:szCs w:val="16"/>
        </w:rPr>
      </w:pPr>
      <w:r w:rsidRPr="0062540B">
        <w:rPr>
          <w:rStyle w:val="ac"/>
          <w:sz w:val="16"/>
          <w:szCs w:val="16"/>
        </w:rPr>
        <w:footnoteRef/>
      </w:r>
      <w:r w:rsidRPr="0062540B">
        <w:rPr>
          <w:sz w:val="16"/>
          <w:szCs w:val="16"/>
        </w:rPr>
        <w:t xml:space="preserve"> </w:t>
      </w:r>
      <w:r w:rsidRPr="0062540B">
        <w:rPr>
          <w:rFonts w:hint="eastAsia"/>
          <w:sz w:val="16"/>
          <w:szCs w:val="16"/>
        </w:rPr>
        <w:t>気候変動リスクを考慮する金融機関がブラックリスト化されて公的資金調達から排除されることに伴う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42D4" w14:textId="324237B8" w:rsidR="00283CC6" w:rsidRDefault="00283CC6">
    <w:pPr>
      <w:pStyle w:val="a4"/>
      <w:jc w:val="center"/>
    </w:pPr>
  </w:p>
  <w:p w14:paraId="175C236F" w14:textId="77777777" w:rsidR="00283CC6" w:rsidRDefault="00283CC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1B79"/>
    <w:multiLevelType w:val="hybridMultilevel"/>
    <w:tmpl w:val="7B062C4A"/>
    <w:lvl w:ilvl="0" w:tplc="1E142B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B6500C"/>
    <w:multiLevelType w:val="hybridMultilevel"/>
    <w:tmpl w:val="F93C2726"/>
    <w:lvl w:ilvl="0" w:tplc="08B67C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34C01BF"/>
    <w:multiLevelType w:val="hybridMultilevel"/>
    <w:tmpl w:val="6CFC9A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5E35EF"/>
    <w:multiLevelType w:val="hybridMultilevel"/>
    <w:tmpl w:val="B6B00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5183E6C"/>
    <w:multiLevelType w:val="hybridMultilevel"/>
    <w:tmpl w:val="F66409D4"/>
    <w:lvl w:ilvl="0" w:tplc="1FE04F12">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84F267E"/>
    <w:multiLevelType w:val="hybridMultilevel"/>
    <w:tmpl w:val="15E68E6C"/>
    <w:lvl w:ilvl="0" w:tplc="6480F25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24A7441"/>
    <w:multiLevelType w:val="hybridMultilevel"/>
    <w:tmpl w:val="EDC42E80"/>
    <w:lvl w:ilvl="0" w:tplc="DFB00DC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3A034E2"/>
    <w:multiLevelType w:val="multilevel"/>
    <w:tmpl w:val="168A24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945464E"/>
    <w:multiLevelType w:val="hybridMultilevel"/>
    <w:tmpl w:val="8630612A"/>
    <w:lvl w:ilvl="0" w:tplc="3CCA89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CD03BD6"/>
    <w:multiLevelType w:val="hybridMultilevel"/>
    <w:tmpl w:val="8B6AE8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7D57588"/>
    <w:multiLevelType w:val="hybridMultilevel"/>
    <w:tmpl w:val="847C01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8E94628"/>
    <w:multiLevelType w:val="hybridMultilevel"/>
    <w:tmpl w:val="705025E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AAC3FA5"/>
    <w:multiLevelType w:val="hybridMultilevel"/>
    <w:tmpl w:val="78D05CEC"/>
    <w:lvl w:ilvl="0" w:tplc="DD243F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8F14F1"/>
    <w:multiLevelType w:val="hybridMultilevel"/>
    <w:tmpl w:val="24C27C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2650322"/>
    <w:multiLevelType w:val="hybridMultilevel"/>
    <w:tmpl w:val="903E06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3A0391E"/>
    <w:multiLevelType w:val="hybridMultilevel"/>
    <w:tmpl w:val="F0CA2B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6AF145E"/>
    <w:multiLevelType w:val="hybridMultilevel"/>
    <w:tmpl w:val="2D8A52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02746C6"/>
    <w:multiLevelType w:val="hybridMultilevel"/>
    <w:tmpl w:val="2E92FD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3391294"/>
    <w:multiLevelType w:val="hybridMultilevel"/>
    <w:tmpl w:val="082038BA"/>
    <w:lvl w:ilvl="0" w:tplc="CE66DA7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D7E2CEA"/>
    <w:multiLevelType w:val="hybridMultilevel"/>
    <w:tmpl w:val="7256AF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D9646BA"/>
    <w:multiLevelType w:val="hybridMultilevel"/>
    <w:tmpl w:val="1DAEED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76908009">
    <w:abstractNumId w:val="13"/>
  </w:num>
  <w:num w:numId="2" w16cid:durableId="1543059136">
    <w:abstractNumId w:val="16"/>
  </w:num>
  <w:num w:numId="3" w16cid:durableId="968130038">
    <w:abstractNumId w:val="20"/>
  </w:num>
  <w:num w:numId="4" w16cid:durableId="289632880">
    <w:abstractNumId w:val="15"/>
  </w:num>
  <w:num w:numId="5" w16cid:durableId="621113864">
    <w:abstractNumId w:val="11"/>
  </w:num>
  <w:num w:numId="6" w16cid:durableId="322047577">
    <w:abstractNumId w:val="8"/>
  </w:num>
  <w:num w:numId="7" w16cid:durableId="2111588162">
    <w:abstractNumId w:val="7"/>
  </w:num>
  <w:num w:numId="8" w16cid:durableId="799492593">
    <w:abstractNumId w:val="17"/>
  </w:num>
  <w:num w:numId="9" w16cid:durableId="1625040299">
    <w:abstractNumId w:val="2"/>
  </w:num>
  <w:num w:numId="10" w16cid:durableId="947616582">
    <w:abstractNumId w:val="1"/>
  </w:num>
  <w:num w:numId="11" w16cid:durableId="505443966">
    <w:abstractNumId w:val="3"/>
  </w:num>
  <w:num w:numId="12" w16cid:durableId="1611232590">
    <w:abstractNumId w:val="4"/>
  </w:num>
  <w:num w:numId="13" w16cid:durableId="1630939113">
    <w:abstractNumId w:val="10"/>
  </w:num>
  <w:num w:numId="14" w16cid:durableId="962463780">
    <w:abstractNumId w:val="19"/>
  </w:num>
  <w:num w:numId="15" w16cid:durableId="400756681">
    <w:abstractNumId w:val="9"/>
  </w:num>
  <w:num w:numId="16" w16cid:durableId="982663509">
    <w:abstractNumId w:val="14"/>
  </w:num>
  <w:num w:numId="17" w16cid:durableId="308215937">
    <w:abstractNumId w:val="0"/>
  </w:num>
  <w:num w:numId="18" w16cid:durableId="580136568">
    <w:abstractNumId w:val="12"/>
  </w:num>
  <w:num w:numId="19" w16cid:durableId="1473013934">
    <w:abstractNumId w:val="5"/>
  </w:num>
  <w:num w:numId="20" w16cid:durableId="1925869647">
    <w:abstractNumId w:val="18"/>
  </w:num>
  <w:num w:numId="21" w16cid:durableId="10797167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8C"/>
    <w:rsid w:val="000005AA"/>
    <w:rsid w:val="0000219C"/>
    <w:rsid w:val="00002491"/>
    <w:rsid w:val="000043BD"/>
    <w:rsid w:val="00004EDA"/>
    <w:rsid w:val="000055CF"/>
    <w:rsid w:val="000108F5"/>
    <w:rsid w:val="0001210C"/>
    <w:rsid w:val="00014897"/>
    <w:rsid w:val="00016B44"/>
    <w:rsid w:val="000175F1"/>
    <w:rsid w:val="00022D0D"/>
    <w:rsid w:val="00024A5B"/>
    <w:rsid w:val="00033BA5"/>
    <w:rsid w:val="00034298"/>
    <w:rsid w:val="0003790B"/>
    <w:rsid w:val="0004221E"/>
    <w:rsid w:val="00044991"/>
    <w:rsid w:val="00046B62"/>
    <w:rsid w:val="0004781E"/>
    <w:rsid w:val="00051526"/>
    <w:rsid w:val="00052D7A"/>
    <w:rsid w:val="00055361"/>
    <w:rsid w:val="0005616B"/>
    <w:rsid w:val="00056BCD"/>
    <w:rsid w:val="000647B8"/>
    <w:rsid w:val="00071187"/>
    <w:rsid w:val="00077045"/>
    <w:rsid w:val="0008423A"/>
    <w:rsid w:val="00084FFE"/>
    <w:rsid w:val="00087392"/>
    <w:rsid w:val="00090F9D"/>
    <w:rsid w:val="000916B6"/>
    <w:rsid w:val="0009383C"/>
    <w:rsid w:val="000A4148"/>
    <w:rsid w:val="000A730E"/>
    <w:rsid w:val="000B3570"/>
    <w:rsid w:val="000B6587"/>
    <w:rsid w:val="000C0851"/>
    <w:rsid w:val="000C0D25"/>
    <w:rsid w:val="000C2A0B"/>
    <w:rsid w:val="000D16B1"/>
    <w:rsid w:val="000D62AE"/>
    <w:rsid w:val="000E05F9"/>
    <w:rsid w:val="000E1385"/>
    <w:rsid w:val="000E3667"/>
    <w:rsid w:val="000E6A5F"/>
    <w:rsid w:val="000E701F"/>
    <w:rsid w:val="000E7CEF"/>
    <w:rsid w:val="000F318E"/>
    <w:rsid w:val="000F3191"/>
    <w:rsid w:val="000F3504"/>
    <w:rsid w:val="000F3682"/>
    <w:rsid w:val="000F4DE6"/>
    <w:rsid w:val="000F5202"/>
    <w:rsid w:val="000F5759"/>
    <w:rsid w:val="000F6A88"/>
    <w:rsid w:val="000F6B64"/>
    <w:rsid w:val="0010099A"/>
    <w:rsid w:val="001046A5"/>
    <w:rsid w:val="00107C96"/>
    <w:rsid w:val="00107F79"/>
    <w:rsid w:val="00111415"/>
    <w:rsid w:val="00114FEF"/>
    <w:rsid w:val="00115EA3"/>
    <w:rsid w:val="001174DF"/>
    <w:rsid w:val="00120BA7"/>
    <w:rsid w:val="001217ED"/>
    <w:rsid w:val="001225D2"/>
    <w:rsid w:val="001232B4"/>
    <w:rsid w:val="001249BD"/>
    <w:rsid w:val="0012669B"/>
    <w:rsid w:val="00134D4D"/>
    <w:rsid w:val="00134E79"/>
    <w:rsid w:val="0013597F"/>
    <w:rsid w:val="00135EA3"/>
    <w:rsid w:val="00136B37"/>
    <w:rsid w:val="001417BF"/>
    <w:rsid w:val="00142C5D"/>
    <w:rsid w:val="00146C66"/>
    <w:rsid w:val="001478AE"/>
    <w:rsid w:val="0015078C"/>
    <w:rsid w:val="001527ED"/>
    <w:rsid w:val="001534D7"/>
    <w:rsid w:val="00153F3E"/>
    <w:rsid w:val="001558C4"/>
    <w:rsid w:val="00164883"/>
    <w:rsid w:val="0016740E"/>
    <w:rsid w:val="0017264E"/>
    <w:rsid w:val="00174E09"/>
    <w:rsid w:val="00181E07"/>
    <w:rsid w:val="0018747D"/>
    <w:rsid w:val="001911B8"/>
    <w:rsid w:val="0019366E"/>
    <w:rsid w:val="0019378B"/>
    <w:rsid w:val="00194B21"/>
    <w:rsid w:val="00195689"/>
    <w:rsid w:val="001A0222"/>
    <w:rsid w:val="001A09A2"/>
    <w:rsid w:val="001A0D95"/>
    <w:rsid w:val="001A4B5E"/>
    <w:rsid w:val="001B1EAD"/>
    <w:rsid w:val="001B2A2C"/>
    <w:rsid w:val="001B3F4E"/>
    <w:rsid w:val="001B4004"/>
    <w:rsid w:val="001B42E7"/>
    <w:rsid w:val="001B44D1"/>
    <w:rsid w:val="001B544B"/>
    <w:rsid w:val="001C338C"/>
    <w:rsid w:val="001C3A8C"/>
    <w:rsid w:val="001C6E84"/>
    <w:rsid w:val="001C6EAF"/>
    <w:rsid w:val="001D005D"/>
    <w:rsid w:val="001D66C3"/>
    <w:rsid w:val="001D6D88"/>
    <w:rsid w:val="001D7598"/>
    <w:rsid w:val="001E12D1"/>
    <w:rsid w:val="001E2604"/>
    <w:rsid w:val="001E63F3"/>
    <w:rsid w:val="001E68BC"/>
    <w:rsid w:val="001E6EE7"/>
    <w:rsid w:val="001F3154"/>
    <w:rsid w:val="001F5974"/>
    <w:rsid w:val="001F6D38"/>
    <w:rsid w:val="001F7416"/>
    <w:rsid w:val="001F7A99"/>
    <w:rsid w:val="002053FB"/>
    <w:rsid w:val="0020653C"/>
    <w:rsid w:val="00207CAF"/>
    <w:rsid w:val="00211114"/>
    <w:rsid w:val="00212AAB"/>
    <w:rsid w:val="00216306"/>
    <w:rsid w:val="00216805"/>
    <w:rsid w:val="002214A5"/>
    <w:rsid w:val="00223D91"/>
    <w:rsid w:val="002275A7"/>
    <w:rsid w:val="002305CE"/>
    <w:rsid w:val="0023102F"/>
    <w:rsid w:val="00231710"/>
    <w:rsid w:val="002323FD"/>
    <w:rsid w:val="00234B65"/>
    <w:rsid w:val="002352C5"/>
    <w:rsid w:val="00235656"/>
    <w:rsid w:val="00235B31"/>
    <w:rsid w:val="002403F9"/>
    <w:rsid w:val="002416B4"/>
    <w:rsid w:val="00242625"/>
    <w:rsid w:val="0024654C"/>
    <w:rsid w:val="00250E87"/>
    <w:rsid w:val="002542D5"/>
    <w:rsid w:val="00254DB2"/>
    <w:rsid w:val="00256BA4"/>
    <w:rsid w:val="0026383C"/>
    <w:rsid w:val="00266FB1"/>
    <w:rsid w:val="00272376"/>
    <w:rsid w:val="0027309E"/>
    <w:rsid w:val="00273DC4"/>
    <w:rsid w:val="00273EE2"/>
    <w:rsid w:val="00283748"/>
    <w:rsid w:val="00283CC6"/>
    <w:rsid w:val="00286097"/>
    <w:rsid w:val="00286698"/>
    <w:rsid w:val="002903EF"/>
    <w:rsid w:val="00290432"/>
    <w:rsid w:val="002908C6"/>
    <w:rsid w:val="00290D6A"/>
    <w:rsid w:val="002921BC"/>
    <w:rsid w:val="00292987"/>
    <w:rsid w:val="00294524"/>
    <w:rsid w:val="00296BF5"/>
    <w:rsid w:val="002A14A0"/>
    <w:rsid w:val="002A1AD6"/>
    <w:rsid w:val="002A25CA"/>
    <w:rsid w:val="002A54C4"/>
    <w:rsid w:val="002A65BF"/>
    <w:rsid w:val="002A78BC"/>
    <w:rsid w:val="002B2AA6"/>
    <w:rsid w:val="002B3515"/>
    <w:rsid w:val="002B4F76"/>
    <w:rsid w:val="002B665E"/>
    <w:rsid w:val="002B713B"/>
    <w:rsid w:val="002C3BDC"/>
    <w:rsid w:val="002D1AFF"/>
    <w:rsid w:val="002D2B24"/>
    <w:rsid w:val="002D6114"/>
    <w:rsid w:val="002D6FCF"/>
    <w:rsid w:val="002E0210"/>
    <w:rsid w:val="002E06CB"/>
    <w:rsid w:val="002E09F3"/>
    <w:rsid w:val="002E1675"/>
    <w:rsid w:val="002E39FC"/>
    <w:rsid w:val="002E4189"/>
    <w:rsid w:val="002E44A0"/>
    <w:rsid w:val="002E5878"/>
    <w:rsid w:val="002E610F"/>
    <w:rsid w:val="002E7F63"/>
    <w:rsid w:val="002F152A"/>
    <w:rsid w:val="002F2DE2"/>
    <w:rsid w:val="0030129E"/>
    <w:rsid w:val="003058F4"/>
    <w:rsid w:val="00310FA3"/>
    <w:rsid w:val="00312B41"/>
    <w:rsid w:val="003138C9"/>
    <w:rsid w:val="003149AB"/>
    <w:rsid w:val="00315547"/>
    <w:rsid w:val="00317470"/>
    <w:rsid w:val="0032182E"/>
    <w:rsid w:val="003218D7"/>
    <w:rsid w:val="003275AF"/>
    <w:rsid w:val="0033031D"/>
    <w:rsid w:val="0033422F"/>
    <w:rsid w:val="0033429B"/>
    <w:rsid w:val="00334C8F"/>
    <w:rsid w:val="00334F15"/>
    <w:rsid w:val="00336104"/>
    <w:rsid w:val="00343C97"/>
    <w:rsid w:val="00346122"/>
    <w:rsid w:val="00347228"/>
    <w:rsid w:val="003570DF"/>
    <w:rsid w:val="003579BD"/>
    <w:rsid w:val="00365684"/>
    <w:rsid w:val="003674DD"/>
    <w:rsid w:val="00375E1F"/>
    <w:rsid w:val="00376B2E"/>
    <w:rsid w:val="003813A5"/>
    <w:rsid w:val="00382D33"/>
    <w:rsid w:val="00382F35"/>
    <w:rsid w:val="00382F65"/>
    <w:rsid w:val="00385B5E"/>
    <w:rsid w:val="003866C0"/>
    <w:rsid w:val="00390232"/>
    <w:rsid w:val="0039039D"/>
    <w:rsid w:val="00391E07"/>
    <w:rsid w:val="00395A0C"/>
    <w:rsid w:val="00396EEA"/>
    <w:rsid w:val="003A0404"/>
    <w:rsid w:val="003A16D6"/>
    <w:rsid w:val="003A272C"/>
    <w:rsid w:val="003A5F13"/>
    <w:rsid w:val="003A6686"/>
    <w:rsid w:val="003B316C"/>
    <w:rsid w:val="003B37B2"/>
    <w:rsid w:val="003B5321"/>
    <w:rsid w:val="003C0F27"/>
    <w:rsid w:val="003C1C72"/>
    <w:rsid w:val="003C2F9A"/>
    <w:rsid w:val="003C3E18"/>
    <w:rsid w:val="003C5B61"/>
    <w:rsid w:val="003C6274"/>
    <w:rsid w:val="003C7185"/>
    <w:rsid w:val="003C7375"/>
    <w:rsid w:val="003D01D3"/>
    <w:rsid w:val="003D02D1"/>
    <w:rsid w:val="003D14E3"/>
    <w:rsid w:val="003D35C3"/>
    <w:rsid w:val="003D38D2"/>
    <w:rsid w:val="003D3913"/>
    <w:rsid w:val="003D50A2"/>
    <w:rsid w:val="003E415B"/>
    <w:rsid w:val="003E494D"/>
    <w:rsid w:val="003E62EB"/>
    <w:rsid w:val="003F03BD"/>
    <w:rsid w:val="003F0D06"/>
    <w:rsid w:val="003F40FE"/>
    <w:rsid w:val="003F49EA"/>
    <w:rsid w:val="00400E9B"/>
    <w:rsid w:val="00402AB1"/>
    <w:rsid w:val="004040F7"/>
    <w:rsid w:val="004065B9"/>
    <w:rsid w:val="00411267"/>
    <w:rsid w:val="00412666"/>
    <w:rsid w:val="00414548"/>
    <w:rsid w:val="00415A33"/>
    <w:rsid w:val="00421192"/>
    <w:rsid w:val="00426A72"/>
    <w:rsid w:val="00426EFB"/>
    <w:rsid w:val="00427FE0"/>
    <w:rsid w:val="004305C4"/>
    <w:rsid w:val="00431560"/>
    <w:rsid w:val="00433AB5"/>
    <w:rsid w:val="00435C37"/>
    <w:rsid w:val="004416A8"/>
    <w:rsid w:val="00441D9B"/>
    <w:rsid w:val="00442ACF"/>
    <w:rsid w:val="00443B00"/>
    <w:rsid w:val="00444268"/>
    <w:rsid w:val="00444F93"/>
    <w:rsid w:val="004463E0"/>
    <w:rsid w:val="00450478"/>
    <w:rsid w:val="00451CD4"/>
    <w:rsid w:val="0045265B"/>
    <w:rsid w:val="00460307"/>
    <w:rsid w:val="00460706"/>
    <w:rsid w:val="0046109F"/>
    <w:rsid w:val="004627C6"/>
    <w:rsid w:val="00471468"/>
    <w:rsid w:val="004716B3"/>
    <w:rsid w:val="0047429E"/>
    <w:rsid w:val="00477B17"/>
    <w:rsid w:val="00480097"/>
    <w:rsid w:val="00485F7C"/>
    <w:rsid w:val="004868A0"/>
    <w:rsid w:val="00486919"/>
    <w:rsid w:val="004905B3"/>
    <w:rsid w:val="00493FBF"/>
    <w:rsid w:val="004949D0"/>
    <w:rsid w:val="004A2ABD"/>
    <w:rsid w:val="004A3078"/>
    <w:rsid w:val="004A505C"/>
    <w:rsid w:val="004A53B0"/>
    <w:rsid w:val="004A5482"/>
    <w:rsid w:val="004A59DA"/>
    <w:rsid w:val="004A5ACF"/>
    <w:rsid w:val="004A7262"/>
    <w:rsid w:val="004B1359"/>
    <w:rsid w:val="004B37C5"/>
    <w:rsid w:val="004B4585"/>
    <w:rsid w:val="004B495D"/>
    <w:rsid w:val="004B5332"/>
    <w:rsid w:val="004B5846"/>
    <w:rsid w:val="004B5DD0"/>
    <w:rsid w:val="004C0CAE"/>
    <w:rsid w:val="004C1577"/>
    <w:rsid w:val="004C4B80"/>
    <w:rsid w:val="004D6369"/>
    <w:rsid w:val="004D6AF9"/>
    <w:rsid w:val="004D7701"/>
    <w:rsid w:val="004E209E"/>
    <w:rsid w:val="004E27D2"/>
    <w:rsid w:val="004E401B"/>
    <w:rsid w:val="004E7EC0"/>
    <w:rsid w:val="004F0421"/>
    <w:rsid w:val="004F12D4"/>
    <w:rsid w:val="004F3332"/>
    <w:rsid w:val="004F5845"/>
    <w:rsid w:val="00500B6A"/>
    <w:rsid w:val="00500F39"/>
    <w:rsid w:val="0050216D"/>
    <w:rsid w:val="00506698"/>
    <w:rsid w:val="005127B3"/>
    <w:rsid w:val="00527B31"/>
    <w:rsid w:val="005313C5"/>
    <w:rsid w:val="0053783C"/>
    <w:rsid w:val="00540A72"/>
    <w:rsid w:val="00541D7A"/>
    <w:rsid w:val="0054540C"/>
    <w:rsid w:val="00546CEA"/>
    <w:rsid w:val="005471C5"/>
    <w:rsid w:val="0054772A"/>
    <w:rsid w:val="0055390B"/>
    <w:rsid w:val="00553DD2"/>
    <w:rsid w:val="00556DC4"/>
    <w:rsid w:val="00560DD6"/>
    <w:rsid w:val="00563140"/>
    <w:rsid w:val="0056400C"/>
    <w:rsid w:val="00566759"/>
    <w:rsid w:val="0057069F"/>
    <w:rsid w:val="005709DE"/>
    <w:rsid w:val="00572D5C"/>
    <w:rsid w:val="005738F4"/>
    <w:rsid w:val="005751FE"/>
    <w:rsid w:val="0058298A"/>
    <w:rsid w:val="00582A82"/>
    <w:rsid w:val="005855BB"/>
    <w:rsid w:val="005856E3"/>
    <w:rsid w:val="00585D6E"/>
    <w:rsid w:val="005864DB"/>
    <w:rsid w:val="00587859"/>
    <w:rsid w:val="005A18AE"/>
    <w:rsid w:val="005A1A42"/>
    <w:rsid w:val="005A2EE4"/>
    <w:rsid w:val="005A5920"/>
    <w:rsid w:val="005A60C7"/>
    <w:rsid w:val="005B1C3F"/>
    <w:rsid w:val="005B2171"/>
    <w:rsid w:val="005B786B"/>
    <w:rsid w:val="005B7A50"/>
    <w:rsid w:val="005C1D6C"/>
    <w:rsid w:val="005C2A62"/>
    <w:rsid w:val="005C2EC1"/>
    <w:rsid w:val="005C52D3"/>
    <w:rsid w:val="005C7045"/>
    <w:rsid w:val="005C7357"/>
    <w:rsid w:val="005D0154"/>
    <w:rsid w:val="005D1C27"/>
    <w:rsid w:val="005D6F9B"/>
    <w:rsid w:val="005D7D1D"/>
    <w:rsid w:val="005E3852"/>
    <w:rsid w:val="005E433D"/>
    <w:rsid w:val="005E5BEA"/>
    <w:rsid w:val="005F1FE8"/>
    <w:rsid w:val="005F31A7"/>
    <w:rsid w:val="005F4494"/>
    <w:rsid w:val="005F454B"/>
    <w:rsid w:val="005F5CB0"/>
    <w:rsid w:val="005F6812"/>
    <w:rsid w:val="005F6C2E"/>
    <w:rsid w:val="006000FF"/>
    <w:rsid w:val="00604F8B"/>
    <w:rsid w:val="00606EAC"/>
    <w:rsid w:val="0061320B"/>
    <w:rsid w:val="00617482"/>
    <w:rsid w:val="00617682"/>
    <w:rsid w:val="006207E0"/>
    <w:rsid w:val="00622B8A"/>
    <w:rsid w:val="00622E91"/>
    <w:rsid w:val="0062449E"/>
    <w:rsid w:val="0062540B"/>
    <w:rsid w:val="0063208E"/>
    <w:rsid w:val="006350EA"/>
    <w:rsid w:val="00647037"/>
    <w:rsid w:val="00647885"/>
    <w:rsid w:val="00651A33"/>
    <w:rsid w:val="00655E21"/>
    <w:rsid w:val="00657579"/>
    <w:rsid w:val="00664089"/>
    <w:rsid w:val="0066607A"/>
    <w:rsid w:val="00667552"/>
    <w:rsid w:val="00667ED8"/>
    <w:rsid w:val="00670641"/>
    <w:rsid w:val="00672463"/>
    <w:rsid w:val="00673B07"/>
    <w:rsid w:val="00676494"/>
    <w:rsid w:val="00676703"/>
    <w:rsid w:val="006768CB"/>
    <w:rsid w:val="00686558"/>
    <w:rsid w:val="00687769"/>
    <w:rsid w:val="00690244"/>
    <w:rsid w:val="00690F73"/>
    <w:rsid w:val="006920FB"/>
    <w:rsid w:val="00694ADC"/>
    <w:rsid w:val="00694BDA"/>
    <w:rsid w:val="00695D37"/>
    <w:rsid w:val="006960D5"/>
    <w:rsid w:val="00696E7B"/>
    <w:rsid w:val="006A0878"/>
    <w:rsid w:val="006A2534"/>
    <w:rsid w:val="006A47B7"/>
    <w:rsid w:val="006A49A2"/>
    <w:rsid w:val="006B0689"/>
    <w:rsid w:val="006B230E"/>
    <w:rsid w:val="006B3C0B"/>
    <w:rsid w:val="006B5D94"/>
    <w:rsid w:val="006B64F1"/>
    <w:rsid w:val="006B75D2"/>
    <w:rsid w:val="006B79C9"/>
    <w:rsid w:val="006C0D63"/>
    <w:rsid w:val="006C1A48"/>
    <w:rsid w:val="006C46E0"/>
    <w:rsid w:val="006C4ACF"/>
    <w:rsid w:val="006C5F99"/>
    <w:rsid w:val="006D1549"/>
    <w:rsid w:val="006D33D3"/>
    <w:rsid w:val="006D3881"/>
    <w:rsid w:val="006D66EA"/>
    <w:rsid w:val="006D7A31"/>
    <w:rsid w:val="006E1EB2"/>
    <w:rsid w:val="006E23DA"/>
    <w:rsid w:val="006E4309"/>
    <w:rsid w:val="006E4618"/>
    <w:rsid w:val="006E7760"/>
    <w:rsid w:val="006F0327"/>
    <w:rsid w:val="006F2625"/>
    <w:rsid w:val="006F30E0"/>
    <w:rsid w:val="00700571"/>
    <w:rsid w:val="007041F9"/>
    <w:rsid w:val="007043E5"/>
    <w:rsid w:val="00707294"/>
    <w:rsid w:val="007119FE"/>
    <w:rsid w:val="00712368"/>
    <w:rsid w:val="00712A0D"/>
    <w:rsid w:val="00712A9F"/>
    <w:rsid w:val="00714F9E"/>
    <w:rsid w:val="00721AE6"/>
    <w:rsid w:val="0072291E"/>
    <w:rsid w:val="007258C9"/>
    <w:rsid w:val="00727E59"/>
    <w:rsid w:val="0073552B"/>
    <w:rsid w:val="007430FA"/>
    <w:rsid w:val="0074599F"/>
    <w:rsid w:val="00747012"/>
    <w:rsid w:val="00750579"/>
    <w:rsid w:val="007506B4"/>
    <w:rsid w:val="00750C22"/>
    <w:rsid w:val="00753DEA"/>
    <w:rsid w:val="007628CB"/>
    <w:rsid w:val="007633DE"/>
    <w:rsid w:val="00764167"/>
    <w:rsid w:val="007704E5"/>
    <w:rsid w:val="00770996"/>
    <w:rsid w:val="00775D5C"/>
    <w:rsid w:val="00776A0E"/>
    <w:rsid w:val="00776F54"/>
    <w:rsid w:val="00782265"/>
    <w:rsid w:val="00785608"/>
    <w:rsid w:val="00790A58"/>
    <w:rsid w:val="007932D7"/>
    <w:rsid w:val="00794716"/>
    <w:rsid w:val="00794962"/>
    <w:rsid w:val="007973C1"/>
    <w:rsid w:val="007A089D"/>
    <w:rsid w:val="007A2645"/>
    <w:rsid w:val="007A3564"/>
    <w:rsid w:val="007A44E8"/>
    <w:rsid w:val="007A7840"/>
    <w:rsid w:val="007A7EBF"/>
    <w:rsid w:val="007B1865"/>
    <w:rsid w:val="007B38BC"/>
    <w:rsid w:val="007B7E36"/>
    <w:rsid w:val="007C2BE2"/>
    <w:rsid w:val="007C2FBD"/>
    <w:rsid w:val="007C68D5"/>
    <w:rsid w:val="007C7B59"/>
    <w:rsid w:val="007C7CB8"/>
    <w:rsid w:val="007D22A4"/>
    <w:rsid w:val="007E52AF"/>
    <w:rsid w:val="007E6850"/>
    <w:rsid w:val="007E6CBB"/>
    <w:rsid w:val="007F2B46"/>
    <w:rsid w:val="00810309"/>
    <w:rsid w:val="00811344"/>
    <w:rsid w:val="008126C0"/>
    <w:rsid w:val="00813102"/>
    <w:rsid w:val="008132E2"/>
    <w:rsid w:val="00813A1E"/>
    <w:rsid w:val="0081458B"/>
    <w:rsid w:val="008154BA"/>
    <w:rsid w:val="00817F97"/>
    <w:rsid w:val="00822798"/>
    <w:rsid w:val="00825904"/>
    <w:rsid w:val="00825B9D"/>
    <w:rsid w:val="00826A39"/>
    <w:rsid w:val="00826D4A"/>
    <w:rsid w:val="0083192E"/>
    <w:rsid w:val="0083240C"/>
    <w:rsid w:val="008333B6"/>
    <w:rsid w:val="008349C6"/>
    <w:rsid w:val="008360D2"/>
    <w:rsid w:val="0084072C"/>
    <w:rsid w:val="008418F9"/>
    <w:rsid w:val="00841D19"/>
    <w:rsid w:val="008445C9"/>
    <w:rsid w:val="00846D10"/>
    <w:rsid w:val="00846F1C"/>
    <w:rsid w:val="00847D4B"/>
    <w:rsid w:val="00850011"/>
    <w:rsid w:val="00852537"/>
    <w:rsid w:val="008526EF"/>
    <w:rsid w:val="00852785"/>
    <w:rsid w:val="0085575B"/>
    <w:rsid w:val="008559D8"/>
    <w:rsid w:val="00855DAB"/>
    <w:rsid w:val="00856107"/>
    <w:rsid w:val="00856EB3"/>
    <w:rsid w:val="008618FE"/>
    <w:rsid w:val="00862DC8"/>
    <w:rsid w:val="00864537"/>
    <w:rsid w:val="00864C77"/>
    <w:rsid w:val="00865303"/>
    <w:rsid w:val="00866823"/>
    <w:rsid w:val="0086763E"/>
    <w:rsid w:val="00871F4C"/>
    <w:rsid w:val="008744BE"/>
    <w:rsid w:val="00874993"/>
    <w:rsid w:val="00876539"/>
    <w:rsid w:val="008773E5"/>
    <w:rsid w:val="00877F1B"/>
    <w:rsid w:val="008811FE"/>
    <w:rsid w:val="008830D0"/>
    <w:rsid w:val="00890438"/>
    <w:rsid w:val="00890ADD"/>
    <w:rsid w:val="008948A1"/>
    <w:rsid w:val="00895D4F"/>
    <w:rsid w:val="00895EFF"/>
    <w:rsid w:val="00896830"/>
    <w:rsid w:val="008A1B99"/>
    <w:rsid w:val="008A7208"/>
    <w:rsid w:val="008B0B5B"/>
    <w:rsid w:val="008B1F60"/>
    <w:rsid w:val="008B2E16"/>
    <w:rsid w:val="008B44D8"/>
    <w:rsid w:val="008B65F6"/>
    <w:rsid w:val="008C1AB4"/>
    <w:rsid w:val="008C1F7E"/>
    <w:rsid w:val="008C47D7"/>
    <w:rsid w:val="008C552A"/>
    <w:rsid w:val="008C713E"/>
    <w:rsid w:val="008D080B"/>
    <w:rsid w:val="008D089E"/>
    <w:rsid w:val="008D0927"/>
    <w:rsid w:val="008D2668"/>
    <w:rsid w:val="008D5DE7"/>
    <w:rsid w:val="008D7350"/>
    <w:rsid w:val="008E4434"/>
    <w:rsid w:val="008E505C"/>
    <w:rsid w:val="008E77D3"/>
    <w:rsid w:val="008E789A"/>
    <w:rsid w:val="008E7F40"/>
    <w:rsid w:val="008F2D8B"/>
    <w:rsid w:val="009010C7"/>
    <w:rsid w:val="00901F8E"/>
    <w:rsid w:val="00903C86"/>
    <w:rsid w:val="00904478"/>
    <w:rsid w:val="00905689"/>
    <w:rsid w:val="0090684A"/>
    <w:rsid w:val="009073D2"/>
    <w:rsid w:val="00907DB9"/>
    <w:rsid w:val="00911DC4"/>
    <w:rsid w:val="0091691A"/>
    <w:rsid w:val="00924C7D"/>
    <w:rsid w:val="00924E01"/>
    <w:rsid w:val="00931184"/>
    <w:rsid w:val="00931E60"/>
    <w:rsid w:val="00932F1F"/>
    <w:rsid w:val="009343A7"/>
    <w:rsid w:val="00935A58"/>
    <w:rsid w:val="009361BB"/>
    <w:rsid w:val="0094081B"/>
    <w:rsid w:val="00945CE0"/>
    <w:rsid w:val="00945E43"/>
    <w:rsid w:val="009500C3"/>
    <w:rsid w:val="00951C74"/>
    <w:rsid w:val="00953EF8"/>
    <w:rsid w:val="0095475C"/>
    <w:rsid w:val="009572DC"/>
    <w:rsid w:val="009617A6"/>
    <w:rsid w:val="009620CD"/>
    <w:rsid w:val="00962DD9"/>
    <w:rsid w:val="009637FD"/>
    <w:rsid w:val="00964980"/>
    <w:rsid w:val="00967E84"/>
    <w:rsid w:val="0097330D"/>
    <w:rsid w:val="0097579A"/>
    <w:rsid w:val="009778B9"/>
    <w:rsid w:val="00980D4E"/>
    <w:rsid w:val="009813BE"/>
    <w:rsid w:val="0098152C"/>
    <w:rsid w:val="00981DBF"/>
    <w:rsid w:val="00983027"/>
    <w:rsid w:val="009870F5"/>
    <w:rsid w:val="00987809"/>
    <w:rsid w:val="0099362A"/>
    <w:rsid w:val="00996A7A"/>
    <w:rsid w:val="009A3C36"/>
    <w:rsid w:val="009A4299"/>
    <w:rsid w:val="009A66A8"/>
    <w:rsid w:val="009B3ABE"/>
    <w:rsid w:val="009B4179"/>
    <w:rsid w:val="009B446B"/>
    <w:rsid w:val="009B44C2"/>
    <w:rsid w:val="009B6AFF"/>
    <w:rsid w:val="009B7FED"/>
    <w:rsid w:val="009C0EF5"/>
    <w:rsid w:val="009C3745"/>
    <w:rsid w:val="009C3EAB"/>
    <w:rsid w:val="009C4EBA"/>
    <w:rsid w:val="009C64DD"/>
    <w:rsid w:val="009D151A"/>
    <w:rsid w:val="009D24DB"/>
    <w:rsid w:val="009D2C00"/>
    <w:rsid w:val="009E2139"/>
    <w:rsid w:val="009E2FF4"/>
    <w:rsid w:val="009E7991"/>
    <w:rsid w:val="009F0370"/>
    <w:rsid w:val="009F5846"/>
    <w:rsid w:val="009F7118"/>
    <w:rsid w:val="009F7B06"/>
    <w:rsid w:val="00A00F22"/>
    <w:rsid w:val="00A018AD"/>
    <w:rsid w:val="00A038A3"/>
    <w:rsid w:val="00A04CC4"/>
    <w:rsid w:val="00A0617E"/>
    <w:rsid w:val="00A079D2"/>
    <w:rsid w:val="00A145B9"/>
    <w:rsid w:val="00A14992"/>
    <w:rsid w:val="00A14CCB"/>
    <w:rsid w:val="00A1553B"/>
    <w:rsid w:val="00A15FE0"/>
    <w:rsid w:val="00A16727"/>
    <w:rsid w:val="00A21595"/>
    <w:rsid w:val="00A2478C"/>
    <w:rsid w:val="00A251A0"/>
    <w:rsid w:val="00A31997"/>
    <w:rsid w:val="00A35097"/>
    <w:rsid w:val="00A46A9E"/>
    <w:rsid w:val="00A47DD2"/>
    <w:rsid w:val="00A50254"/>
    <w:rsid w:val="00A5382A"/>
    <w:rsid w:val="00A54550"/>
    <w:rsid w:val="00A54EC2"/>
    <w:rsid w:val="00A61F1E"/>
    <w:rsid w:val="00A62623"/>
    <w:rsid w:val="00A64A53"/>
    <w:rsid w:val="00A65067"/>
    <w:rsid w:val="00A7202C"/>
    <w:rsid w:val="00A73F37"/>
    <w:rsid w:val="00A76FBD"/>
    <w:rsid w:val="00A80DE3"/>
    <w:rsid w:val="00A81310"/>
    <w:rsid w:val="00A83A04"/>
    <w:rsid w:val="00A84FDA"/>
    <w:rsid w:val="00A86076"/>
    <w:rsid w:val="00A91EB5"/>
    <w:rsid w:val="00A92754"/>
    <w:rsid w:val="00A92DC4"/>
    <w:rsid w:val="00A9483B"/>
    <w:rsid w:val="00A951E3"/>
    <w:rsid w:val="00A95CE3"/>
    <w:rsid w:val="00A973C6"/>
    <w:rsid w:val="00AA12D8"/>
    <w:rsid w:val="00AB02E9"/>
    <w:rsid w:val="00AB049F"/>
    <w:rsid w:val="00AC0FF6"/>
    <w:rsid w:val="00AC325C"/>
    <w:rsid w:val="00AC3A6B"/>
    <w:rsid w:val="00AD074E"/>
    <w:rsid w:val="00AD0D1F"/>
    <w:rsid w:val="00AD2A2D"/>
    <w:rsid w:val="00AD389D"/>
    <w:rsid w:val="00AD48E9"/>
    <w:rsid w:val="00AD513F"/>
    <w:rsid w:val="00AD6F71"/>
    <w:rsid w:val="00AE2DA1"/>
    <w:rsid w:val="00AE7F31"/>
    <w:rsid w:val="00AF1CF8"/>
    <w:rsid w:val="00AF1F6D"/>
    <w:rsid w:val="00AF3499"/>
    <w:rsid w:val="00B06E57"/>
    <w:rsid w:val="00B129EE"/>
    <w:rsid w:val="00B13BEB"/>
    <w:rsid w:val="00B14C09"/>
    <w:rsid w:val="00B16EF9"/>
    <w:rsid w:val="00B1728A"/>
    <w:rsid w:val="00B17313"/>
    <w:rsid w:val="00B235D5"/>
    <w:rsid w:val="00B24009"/>
    <w:rsid w:val="00B26EEF"/>
    <w:rsid w:val="00B278A2"/>
    <w:rsid w:val="00B31651"/>
    <w:rsid w:val="00B3221E"/>
    <w:rsid w:val="00B347B1"/>
    <w:rsid w:val="00B3735E"/>
    <w:rsid w:val="00B44AED"/>
    <w:rsid w:val="00B44D27"/>
    <w:rsid w:val="00B469C8"/>
    <w:rsid w:val="00B46C7F"/>
    <w:rsid w:val="00B516CC"/>
    <w:rsid w:val="00B54EBC"/>
    <w:rsid w:val="00B55464"/>
    <w:rsid w:val="00B565DE"/>
    <w:rsid w:val="00B604B1"/>
    <w:rsid w:val="00B6470A"/>
    <w:rsid w:val="00B66F76"/>
    <w:rsid w:val="00B76830"/>
    <w:rsid w:val="00B7705D"/>
    <w:rsid w:val="00B81A77"/>
    <w:rsid w:val="00B85877"/>
    <w:rsid w:val="00B919A6"/>
    <w:rsid w:val="00B9470F"/>
    <w:rsid w:val="00B96540"/>
    <w:rsid w:val="00BA34A8"/>
    <w:rsid w:val="00BA3E7A"/>
    <w:rsid w:val="00BA4B56"/>
    <w:rsid w:val="00BA6419"/>
    <w:rsid w:val="00BB05B7"/>
    <w:rsid w:val="00BB1444"/>
    <w:rsid w:val="00BB216B"/>
    <w:rsid w:val="00BB3D0D"/>
    <w:rsid w:val="00BB74F5"/>
    <w:rsid w:val="00BB7ED4"/>
    <w:rsid w:val="00BC17D8"/>
    <w:rsid w:val="00BC3841"/>
    <w:rsid w:val="00BC413D"/>
    <w:rsid w:val="00BD1082"/>
    <w:rsid w:val="00BD395D"/>
    <w:rsid w:val="00BD4FC9"/>
    <w:rsid w:val="00BD6644"/>
    <w:rsid w:val="00BD7DED"/>
    <w:rsid w:val="00BE0401"/>
    <w:rsid w:val="00BE1C1E"/>
    <w:rsid w:val="00BE671F"/>
    <w:rsid w:val="00BE6F85"/>
    <w:rsid w:val="00BF1251"/>
    <w:rsid w:val="00BF2308"/>
    <w:rsid w:val="00BF2EF8"/>
    <w:rsid w:val="00BF34DE"/>
    <w:rsid w:val="00BF474B"/>
    <w:rsid w:val="00BF725B"/>
    <w:rsid w:val="00BF756A"/>
    <w:rsid w:val="00C005BA"/>
    <w:rsid w:val="00C04250"/>
    <w:rsid w:val="00C04458"/>
    <w:rsid w:val="00C04AB9"/>
    <w:rsid w:val="00C04E99"/>
    <w:rsid w:val="00C05164"/>
    <w:rsid w:val="00C05452"/>
    <w:rsid w:val="00C056DC"/>
    <w:rsid w:val="00C060D8"/>
    <w:rsid w:val="00C1436C"/>
    <w:rsid w:val="00C14B8C"/>
    <w:rsid w:val="00C14D5E"/>
    <w:rsid w:val="00C15C87"/>
    <w:rsid w:val="00C16E15"/>
    <w:rsid w:val="00C215B0"/>
    <w:rsid w:val="00C24F7C"/>
    <w:rsid w:val="00C27EA5"/>
    <w:rsid w:val="00C3029C"/>
    <w:rsid w:val="00C305E1"/>
    <w:rsid w:val="00C33B5B"/>
    <w:rsid w:val="00C33FF1"/>
    <w:rsid w:val="00C36109"/>
    <w:rsid w:val="00C363BD"/>
    <w:rsid w:val="00C36ACF"/>
    <w:rsid w:val="00C37EC8"/>
    <w:rsid w:val="00C44032"/>
    <w:rsid w:val="00C44634"/>
    <w:rsid w:val="00C44F27"/>
    <w:rsid w:val="00C45041"/>
    <w:rsid w:val="00C4518C"/>
    <w:rsid w:val="00C45627"/>
    <w:rsid w:val="00C47EAF"/>
    <w:rsid w:val="00C5302F"/>
    <w:rsid w:val="00C53D81"/>
    <w:rsid w:val="00C544ED"/>
    <w:rsid w:val="00C560BA"/>
    <w:rsid w:val="00C6136C"/>
    <w:rsid w:val="00C645AB"/>
    <w:rsid w:val="00C65153"/>
    <w:rsid w:val="00C669DB"/>
    <w:rsid w:val="00C73A78"/>
    <w:rsid w:val="00C747B7"/>
    <w:rsid w:val="00C80E97"/>
    <w:rsid w:val="00C8146B"/>
    <w:rsid w:val="00C817D1"/>
    <w:rsid w:val="00C82963"/>
    <w:rsid w:val="00C8323D"/>
    <w:rsid w:val="00C8323F"/>
    <w:rsid w:val="00C8501B"/>
    <w:rsid w:val="00C85E78"/>
    <w:rsid w:val="00C85E93"/>
    <w:rsid w:val="00C874CB"/>
    <w:rsid w:val="00C91332"/>
    <w:rsid w:val="00C94A76"/>
    <w:rsid w:val="00C95145"/>
    <w:rsid w:val="00CA2219"/>
    <w:rsid w:val="00CA3379"/>
    <w:rsid w:val="00CA3C6C"/>
    <w:rsid w:val="00CA4C48"/>
    <w:rsid w:val="00CA6D96"/>
    <w:rsid w:val="00CB0BDB"/>
    <w:rsid w:val="00CB2203"/>
    <w:rsid w:val="00CB2C3C"/>
    <w:rsid w:val="00CB2CDB"/>
    <w:rsid w:val="00CB42EB"/>
    <w:rsid w:val="00CB5371"/>
    <w:rsid w:val="00CB6CEC"/>
    <w:rsid w:val="00CC5681"/>
    <w:rsid w:val="00CC5F14"/>
    <w:rsid w:val="00CD1F44"/>
    <w:rsid w:val="00CD4387"/>
    <w:rsid w:val="00CD4714"/>
    <w:rsid w:val="00CD49A4"/>
    <w:rsid w:val="00CD4DA9"/>
    <w:rsid w:val="00CE06B9"/>
    <w:rsid w:val="00CE14B3"/>
    <w:rsid w:val="00CE2ACB"/>
    <w:rsid w:val="00CE2F06"/>
    <w:rsid w:val="00CE71A4"/>
    <w:rsid w:val="00CE75CA"/>
    <w:rsid w:val="00CF4BF3"/>
    <w:rsid w:val="00CF54AE"/>
    <w:rsid w:val="00CF5F5F"/>
    <w:rsid w:val="00D0041A"/>
    <w:rsid w:val="00D00565"/>
    <w:rsid w:val="00D01D49"/>
    <w:rsid w:val="00D03619"/>
    <w:rsid w:val="00D04F34"/>
    <w:rsid w:val="00D073C1"/>
    <w:rsid w:val="00D11083"/>
    <w:rsid w:val="00D11C33"/>
    <w:rsid w:val="00D12AB2"/>
    <w:rsid w:val="00D154A3"/>
    <w:rsid w:val="00D16A44"/>
    <w:rsid w:val="00D2026F"/>
    <w:rsid w:val="00D2076E"/>
    <w:rsid w:val="00D2670F"/>
    <w:rsid w:val="00D32CFC"/>
    <w:rsid w:val="00D353F3"/>
    <w:rsid w:val="00D3620A"/>
    <w:rsid w:val="00D374AA"/>
    <w:rsid w:val="00D46BEB"/>
    <w:rsid w:val="00D51FB3"/>
    <w:rsid w:val="00D53EF1"/>
    <w:rsid w:val="00D5771C"/>
    <w:rsid w:val="00D57B6C"/>
    <w:rsid w:val="00D602BC"/>
    <w:rsid w:val="00D631D4"/>
    <w:rsid w:val="00D7138A"/>
    <w:rsid w:val="00D7152F"/>
    <w:rsid w:val="00D7460B"/>
    <w:rsid w:val="00D75A18"/>
    <w:rsid w:val="00D821EA"/>
    <w:rsid w:val="00D83C26"/>
    <w:rsid w:val="00D85E1D"/>
    <w:rsid w:val="00D90007"/>
    <w:rsid w:val="00D9007F"/>
    <w:rsid w:val="00D91C16"/>
    <w:rsid w:val="00DA1E31"/>
    <w:rsid w:val="00DA2BA7"/>
    <w:rsid w:val="00DA2D81"/>
    <w:rsid w:val="00DA4AA6"/>
    <w:rsid w:val="00DB0B39"/>
    <w:rsid w:val="00DB116C"/>
    <w:rsid w:val="00DB1D21"/>
    <w:rsid w:val="00DB70BA"/>
    <w:rsid w:val="00DC4D14"/>
    <w:rsid w:val="00DD65DE"/>
    <w:rsid w:val="00DF0909"/>
    <w:rsid w:val="00DF0D34"/>
    <w:rsid w:val="00DF2941"/>
    <w:rsid w:val="00DF31D4"/>
    <w:rsid w:val="00DF51EC"/>
    <w:rsid w:val="00DF75DF"/>
    <w:rsid w:val="00E0294B"/>
    <w:rsid w:val="00E02EC2"/>
    <w:rsid w:val="00E0371E"/>
    <w:rsid w:val="00E037D8"/>
    <w:rsid w:val="00E03ADD"/>
    <w:rsid w:val="00E04D3E"/>
    <w:rsid w:val="00E10534"/>
    <w:rsid w:val="00E10D8A"/>
    <w:rsid w:val="00E12D00"/>
    <w:rsid w:val="00E13DE3"/>
    <w:rsid w:val="00E13E18"/>
    <w:rsid w:val="00E15650"/>
    <w:rsid w:val="00E24E8A"/>
    <w:rsid w:val="00E25480"/>
    <w:rsid w:val="00E25E41"/>
    <w:rsid w:val="00E2763C"/>
    <w:rsid w:val="00E302F7"/>
    <w:rsid w:val="00E31003"/>
    <w:rsid w:val="00E31F93"/>
    <w:rsid w:val="00E32B06"/>
    <w:rsid w:val="00E35E3A"/>
    <w:rsid w:val="00E37FC4"/>
    <w:rsid w:val="00E403AD"/>
    <w:rsid w:val="00E40530"/>
    <w:rsid w:val="00E40C42"/>
    <w:rsid w:val="00E421F8"/>
    <w:rsid w:val="00E42214"/>
    <w:rsid w:val="00E4737F"/>
    <w:rsid w:val="00E53170"/>
    <w:rsid w:val="00E541F6"/>
    <w:rsid w:val="00E668DF"/>
    <w:rsid w:val="00E67C4F"/>
    <w:rsid w:val="00E7159F"/>
    <w:rsid w:val="00E72F56"/>
    <w:rsid w:val="00E737E1"/>
    <w:rsid w:val="00E73AE1"/>
    <w:rsid w:val="00E73C84"/>
    <w:rsid w:val="00E74210"/>
    <w:rsid w:val="00E74FD0"/>
    <w:rsid w:val="00E767AA"/>
    <w:rsid w:val="00E769F9"/>
    <w:rsid w:val="00E8264F"/>
    <w:rsid w:val="00E83248"/>
    <w:rsid w:val="00E837E8"/>
    <w:rsid w:val="00E83EB3"/>
    <w:rsid w:val="00E86700"/>
    <w:rsid w:val="00E91A0B"/>
    <w:rsid w:val="00E91EF3"/>
    <w:rsid w:val="00E91FBD"/>
    <w:rsid w:val="00E92142"/>
    <w:rsid w:val="00E9285D"/>
    <w:rsid w:val="00E94C03"/>
    <w:rsid w:val="00E96CE7"/>
    <w:rsid w:val="00E97F86"/>
    <w:rsid w:val="00EA1E2B"/>
    <w:rsid w:val="00EA2982"/>
    <w:rsid w:val="00EA4550"/>
    <w:rsid w:val="00EA58B5"/>
    <w:rsid w:val="00EA5EBF"/>
    <w:rsid w:val="00EA6CC7"/>
    <w:rsid w:val="00EA74A0"/>
    <w:rsid w:val="00EA7B50"/>
    <w:rsid w:val="00EB0B96"/>
    <w:rsid w:val="00EB209E"/>
    <w:rsid w:val="00EB286B"/>
    <w:rsid w:val="00EB4CE5"/>
    <w:rsid w:val="00EB4E2E"/>
    <w:rsid w:val="00EB4FDD"/>
    <w:rsid w:val="00EC0A7F"/>
    <w:rsid w:val="00EC19F3"/>
    <w:rsid w:val="00EC4D2E"/>
    <w:rsid w:val="00EC55E4"/>
    <w:rsid w:val="00EC5D88"/>
    <w:rsid w:val="00EC7469"/>
    <w:rsid w:val="00ED0724"/>
    <w:rsid w:val="00ED250D"/>
    <w:rsid w:val="00ED7F72"/>
    <w:rsid w:val="00EE06B3"/>
    <w:rsid w:val="00EE0C88"/>
    <w:rsid w:val="00EE1159"/>
    <w:rsid w:val="00EE25DC"/>
    <w:rsid w:val="00EE5284"/>
    <w:rsid w:val="00EE574F"/>
    <w:rsid w:val="00EE6F11"/>
    <w:rsid w:val="00EE7C06"/>
    <w:rsid w:val="00EF3B69"/>
    <w:rsid w:val="00EF5A88"/>
    <w:rsid w:val="00EF5F80"/>
    <w:rsid w:val="00EF692C"/>
    <w:rsid w:val="00F00C47"/>
    <w:rsid w:val="00F0159A"/>
    <w:rsid w:val="00F018BB"/>
    <w:rsid w:val="00F06747"/>
    <w:rsid w:val="00F07909"/>
    <w:rsid w:val="00F07E8E"/>
    <w:rsid w:val="00F10B9B"/>
    <w:rsid w:val="00F148F5"/>
    <w:rsid w:val="00F16525"/>
    <w:rsid w:val="00F17FB5"/>
    <w:rsid w:val="00F2119F"/>
    <w:rsid w:val="00F22046"/>
    <w:rsid w:val="00F2343D"/>
    <w:rsid w:val="00F24003"/>
    <w:rsid w:val="00F31086"/>
    <w:rsid w:val="00F32624"/>
    <w:rsid w:val="00F404C5"/>
    <w:rsid w:val="00F5108C"/>
    <w:rsid w:val="00F51483"/>
    <w:rsid w:val="00F5545F"/>
    <w:rsid w:val="00F61385"/>
    <w:rsid w:val="00F618C7"/>
    <w:rsid w:val="00F6645A"/>
    <w:rsid w:val="00F66C7F"/>
    <w:rsid w:val="00F6785E"/>
    <w:rsid w:val="00F67A7D"/>
    <w:rsid w:val="00F7081F"/>
    <w:rsid w:val="00F70CFF"/>
    <w:rsid w:val="00F71B14"/>
    <w:rsid w:val="00F75C90"/>
    <w:rsid w:val="00F80480"/>
    <w:rsid w:val="00F80B05"/>
    <w:rsid w:val="00F84177"/>
    <w:rsid w:val="00F853CF"/>
    <w:rsid w:val="00F902A0"/>
    <w:rsid w:val="00F925EC"/>
    <w:rsid w:val="00F93C6E"/>
    <w:rsid w:val="00F9520A"/>
    <w:rsid w:val="00F96707"/>
    <w:rsid w:val="00FA103F"/>
    <w:rsid w:val="00FA2322"/>
    <w:rsid w:val="00FB01F7"/>
    <w:rsid w:val="00FB0BAE"/>
    <w:rsid w:val="00FB1E18"/>
    <w:rsid w:val="00FB2D6A"/>
    <w:rsid w:val="00FB5064"/>
    <w:rsid w:val="00FB787B"/>
    <w:rsid w:val="00FC0306"/>
    <w:rsid w:val="00FC0E40"/>
    <w:rsid w:val="00FD0498"/>
    <w:rsid w:val="00FD42AF"/>
    <w:rsid w:val="00FD4A7F"/>
    <w:rsid w:val="00FD6BFD"/>
    <w:rsid w:val="00FF19FC"/>
    <w:rsid w:val="00FF1DCB"/>
    <w:rsid w:val="00FF3AD5"/>
    <w:rsid w:val="00FF48DA"/>
    <w:rsid w:val="00FF4D77"/>
    <w:rsid w:val="00FF6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613BC3"/>
  <w15:docId w15:val="{770F0A5A-AF79-4E77-94B1-BDCC077F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F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18C"/>
    <w:pPr>
      <w:ind w:leftChars="400" w:left="840"/>
    </w:pPr>
  </w:style>
  <w:style w:type="paragraph" w:styleId="a4">
    <w:name w:val="header"/>
    <w:basedOn w:val="a"/>
    <w:link w:val="a5"/>
    <w:uiPriority w:val="99"/>
    <w:unhideWhenUsed/>
    <w:rsid w:val="00EE06B3"/>
    <w:pPr>
      <w:tabs>
        <w:tab w:val="center" w:pos="4252"/>
        <w:tab w:val="right" w:pos="8504"/>
      </w:tabs>
      <w:snapToGrid w:val="0"/>
    </w:pPr>
  </w:style>
  <w:style w:type="character" w:customStyle="1" w:styleId="a5">
    <w:name w:val="ヘッダー (文字)"/>
    <w:basedOn w:val="a0"/>
    <w:link w:val="a4"/>
    <w:uiPriority w:val="99"/>
    <w:rsid w:val="00EE06B3"/>
  </w:style>
  <w:style w:type="paragraph" w:styleId="a6">
    <w:name w:val="footer"/>
    <w:basedOn w:val="a"/>
    <w:link w:val="a7"/>
    <w:uiPriority w:val="99"/>
    <w:unhideWhenUsed/>
    <w:rsid w:val="00EE06B3"/>
    <w:pPr>
      <w:tabs>
        <w:tab w:val="center" w:pos="4252"/>
        <w:tab w:val="right" w:pos="8504"/>
      </w:tabs>
      <w:snapToGrid w:val="0"/>
    </w:pPr>
  </w:style>
  <w:style w:type="character" w:customStyle="1" w:styleId="a7">
    <w:name w:val="フッター (文字)"/>
    <w:basedOn w:val="a0"/>
    <w:link w:val="a6"/>
    <w:uiPriority w:val="99"/>
    <w:rsid w:val="00EE06B3"/>
  </w:style>
  <w:style w:type="paragraph" w:styleId="a8">
    <w:name w:val="Balloon Text"/>
    <w:basedOn w:val="a"/>
    <w:link w:val="a9"/>
    <w:uiPriority w:val="99"/>
    <w:semiHidden/>
    <w:unhideWhenUsed/>
    <w:rsid w:val="000E70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701F"/>
    <w:rPr>
      <w:rFonts w:asciiTheme="majorHAnsi" w:eastAsiaTheme="majorEastAsia" w:hAnsiTheme="majorHAnsi" w:cstheme="majorBidi"/>
      <w:sz w:val="18"/>
      <w:szCs w:val="18"/>
    </w:rPr>
  </w:style>
  <w:style w:type="paragraph" w:styleId="aa">
    <w:name w:val="footnote text"/>
    <w:basedOn w:val="a"/>
    <w:link w:val="ab"/>
    <w:uiPriority w:val="99"/>
    <w:semiHidden/>
    <w:unhideWhenUsed/>
    <w:rsid w:val="00402AB1"/>
    <w:pPr>
      <w:snapToGrid w:val="0"/>
      <w:jc w:val="left"/>
    </w:pPr>
  </w:style>
  <w:style w:type="character" w:customStyle="1" w:styleId="ab">
    <w:name w:val="脚注文字列 (文字)"/>
    <w:basedOn w:val="a0"/>
    <w:link w:val="aa"/>
    <w:uiPriority w:val="99"/>
    <w:semiHidden/>
    <w:rsid w:val="00402AB1"/>
  </w:style>
  <w:style w:type="character" w:styleId="ac">
    <w:name w:val="footnote reference"/>
    <w:basedOn w:val="a0"/>
    <w:uiPriority w:val="99"/>
    <w:semiHidden/>
    <w:unhideWhenUsed/>
    <w:rsid w:val="00402AB1"/>
    <w:rPr>
      <w:vertAlign w:val="superscript"/>
    </w:rPr>
  </w:style>
  <w:style w:type="paragraph" w:styleId="ad">
    <w:name w:val="Closing"/>
    <w:basedOn w:val="a"/>
    <w:link w:val="ae"/>
    <w:uiPriority w:val="99"/>
    <w:unhideWhenUsed/>
    <w:rsid w:val="00CB2CDB"/>
    <w:pPr>
      <w:jc w:val="right"/>
    </w:pPr>
  </w:style>
  <w:style w:type="character" w:customStyle="1" w:styleId="ae">
    <w:name w:val="結語 (文字)"/>
    <w:basedOn w:val="a0"/>
    <w:link w:val="ad"/>
    <w:uiPriority w:val="99"/>
    <w:rsid w:val="00CB2CDB"/>
  </w:style>
  <w:style w:type="character" w:styleId="af">
    <w:name w:val="Strong"/>
    <w:basedOn w:val="a0"/>
    <w:uiPriority w:val="22"/>
    <w:qFormat/>
    <w:rsid w:val="00A14992"/>
    <w:rPr>
      <w:b/>
      <w:bCs/>
    </w:rPr>
  </w:style>
  <w:style w:type="paragraph" w:customStyle="1" w:styleId="Default">
    <w:name w:val="Default"/>
    <w:rsid w:val="002D6114"/>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426A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Subtitle"/>
    <w:basedOn w:val="a"/>
    <w:next w:val="a"/>
    <w:link w:val="af1"/>
    <w:uiPriority w:val="11"/>
    <w:qFormat/>
    <w:rsid w:val="0045265B"/>
    <w:pPr>
      <w:keepNext/>
      <w:keepLines/>
      <w:widowControl/>
      <w:spacing w:after="320" w:line="276" w:lineRule="auto"/>
      <w:jc w:val="left"/>
    </w:pPr>
    <w:rPr>
      <w:rFonts w:ascii="Arial" w:eastAsia="Arial" w:hAnsi="Arial" w:cs="Arial"/>
      <w:color w:val="666666"/>
      <w:kern w:val="0"/>
      <w:sz w:val="30"/>
      <w:szCs w:val="30"/>
      <w:lang w:val="en-CA"/>
    </w:rPr>
  </w:style>
  <w:style w:type="character" w:customStyle="1" w:styleId="af1">
    <w:name w:val="副題 (文字)"/>
    <w:basedOn w:val="a0"/>
    <w:link w:val="af0"/>
    <w:uiPriority w:val="11"/>
    <w:rsid w:val="0045265B"/>
    <w:rPr>
      <w:rFonts w:ascii="Arial" w:eastAsia="Arial" w:hAnsi="Arial" w:cs="Arial"/>
      <w:color w:val="666666"/>
      <w:kern w:val="0"/>
      <w:sz w:val="30"/>
      <w:szCs w:val="30"/>
      <w:lang w:val="en-CA"/>
    </w:rPr>
  </w:style>
  <w:style w:type="paragraph" w:styleId="af2">
    <w:name w:val="Date"/>
    <w:basedOn w:val="a"/>
    <w:next w:val="a"/>
    <w:link w:val="af3"/>
    <w:uiPriority w:val="99"/>
    <w:semiHidden/>
    <w:unhideWhenUsed/>
    <w:rsid w:val="00C15C87"/>
  </w:style>
  <w:style w:type="character" w:customStyle="1" w:styleId="af3">
    <w:name w:val="日付 (文字)"/>
    <w:basedOn w:val="a0"/>
    <w:link w:val="af2"/>
    <w:uiPriority w:val="99"/>
    <w:semiHidden/>
    <w:rsid w:val="00C15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4123">
      <w:bodyDiv w:val="1"/>
      <w:marLeft w:val="0"/>
      <w:marRight w:val="0"/>
      <w:marTop w:val="0"/>
      <w:marBottom w:val="0"/>
      <w:divBdr>
        <w:top w:val="none" w:sz="0" w:space="0" w:color="auto"/>
        <w:left w:val="none" w:sz="0" w:space="0" w:color="auto"/>
        <w:bottom w:val="none" w:sz="0" w:space="0" w:color="auto"/>
        <w:right w:val="none" w:sz="0" w:space="0" w:color="auto"/>
      </w:divBdr>
      <w:divsChild>
        <w:div w:id="14775572">
          <w:marLeft w:val="-225"/>
          <w:marRight w:val="-225"/>
          <w:marTop w:val="0"/>
          <w:marBottom w:val="0"/>
          <w:divBdr>
            <w:top w:val="none" w:sz="0" w:space="0" w:color="auto"/>
            <w:left w:val="none" w:sz="0" w:space="0" w:color="auto"/>
            <w:bottom w:val="none" w:sz="0" w:space="0" w:color="auto"/>
            <w:right w:val="none" w:sz="0" w:space="0" w:color="auto"/>
          </w:divBdr>
          <w:divsChild>
            <w:div w:id="560867361">
              <w:marLeft w:val="0"/>
              <w:marRight w:val="0"/>
              <w:marTop w:val="0"/>
              <w:marBottom w:val="0"/>
              <w:divBdr>
                <w:top w:val="none" w:sz="0" w:space="0" w:color="auto"/>
                <w:left w:val="none" w:sz="0" w:space="0" w:color="auto"/>
                <w:bottom w:val="none" w:sz="0" w:space="0" w:color="auto"/>
                <w:right w:val="none" w:sz="0" w:space="0" w:color="auto"/>
              </w:divBdr>
              <w:divsChild>
                <w:div w:id="1514563939">
                  <w:marLeft w:val="0"/>
                  <w:marRight w:val="0"/>
                  <w:marTop w:val="0"/>
                  <w:marBottom w:val="0"/>
                  <w:divBdr>
                    <w:top w:val="none" w:sz="0" w:space="0" w:color="auto"/>
                    <w:left w:val="none" w:sz="0" w:space="0" w:color="auto"/>
                    <w:bottom w:val="none" w:sz="0" w:space="0" w:color="auto"/>
                    <w:right w:val="none" w:sz="0" w:space="0" w:color="auto"/>
                  </w:divBdr>
                  <w:divsChild>
                    <w:div w:id="1073114986">
                      <w:marLeft w:val="0"/>
                      <w:marRight w:val="0"/>
                      <w:marTop w:val="0"/>
                      <w:marBottom w:val="0"/>
                      <w:divBdr>
                        <w:top w:val="none" w:sz="0" w:space="0" w:color="auto"/>
                        <w:left w:val="none" w:sz="0" w:space="0" w:color="auto"/>
                        <w:bottom w:val="none" w:sz="0" w:space="0" w:color="auto"/>
                        <w:right w:val="none" w:sz="0" w:space="0" w:color="auto"/>
                      </w:divBdr>
                      <w:divsChild>
                        <w:div w:id="245656792">
                          <w:marLeft w:val="0"/>
                          <w:marRight w:val="0"/>
                          <w:marTop w:val="0"/>
                          <w:marBottom w:val="0"/>
                          <w:divBdr>
                            <w:top w:val="none" w:sz="0" w:space="0" w:color="auto"/>
                            <w:left w:val="none" w:sz="0" w:space="0" w:color="auto"/>
                            <w:bottom w:val="none" w:sz="0" w:space="0" w:color="auto"/>
                            <w:right w:val="none" w:sz="0" w:space="0" w:color="auto"/>
                          </w:divBdr>
                          <w:divsChild>
                            <w:div w:id="947659015">
                              <w:marLeft w:val="0"/>
                              <w:marRight w:val="0"/>
                              <w:marTop w:val="0"/>
                              <w:marBottom w:val="525"/>
                              <w:divBdr>
                                <w:top w:val="none" w:sz="0" w:space="0" w:color="auto"/>
                                <w:left w:val="none" w:sz="0" w:space="0" w:color="auto"/>
                                <w:bottom w:val="none" w:sz="0" w:space="0" w:color="auto"/>
                                <w:right w:val="none" w:sz="0" w:space="0" w:color="auto"/>
                              </w:divBdr>
                              <w:divsChild>
                                <w:div w:id="1137142559">
                                  <w:marLeft w:val="0"/>
                                  <w:marRight w:val="0"/>
                                  <w:marTop w:val="0"/>
                                  <w:marBottom w:val="0"/>
                                  <w:divBdr>
                                    <w:top w:val="none" w:sz="0" w:space="0" w:color="auto"/>
                                    <w:left w:val="none" w:sz="0" w:space="0" w:color="auto"/>
                                    <w:bottom w:val="none" w:sz="0" w:space="0" w:color="auto"/>
                                    <w:right w:val="none" w:sz="0" w:space="0" w:color="auto"/>
                                  </w:divBdr>
                                  <w:divsChild>
                                    <w:div w:id="1924337220">
                                      <w:marLeft w:val="0"/>
                                      <w:marRight w:val="-75"/>
                                      <w:marTop w:val="0"/>
                                      <w:marBottom w:val="0"/>
                                      <w:divBdr>
                                        <w:top w:val="none" w:sz="0" w:space="0" w:color="auto"/>
                                        <w:left w:val="none" w:sz="0" w:space="0" w:color="auto"/>
                                        <w:bottom w:val="none" w:sz="0" w:space="0" w:color="auto"/>
                                        <w:right w:val="none" w:sz="0" w:space="0" w:color="auto"/>
                                      </w:divBdr>
                                      <w:divsChild>
                                        <w:div w:id="451870803">
                                          <w:marLeft w:val="0"/>
                                          <w:marRight w:val="0"/>
                                          <w:marTop w:val="0"/>
                                          <w:marBottom w:val="0"/>
                                          <w:divBdr>
                                            <w:top w:val="none" w:sz="0" w:space="0" w:color="auto"/>
                                            <w:left w:val="none" w:sz="0" w:space="0" w:color="auto"/>
                                            <w:bottom w:val="none" w:sz="0" w:space="0" w:color="auto"/>
                                            <w:right w:val="none" w:sz="0" w:space="0" w:color="auto"/>
                                          </w:divBdr>
                                          <w:divsChild>
                                            <w:div w:id="458258695">
                                              <w:marLeft w:val="0"/>
                                              <w:marRight w:val="0"/>
                                              <w:marTop w:val="0"/>
                                              <w:marBottom w:val="0"/>
                                              <w:divBdr>
                                                <w:top w:val="none" w:sz="0" w:space="0" w:color="auto"/>
                                                <w:left w:val="none" w:sz="0" w:space="0" w:color="auto"/>
                                                <w:bottom w:val="none" w:sz="0" w:space="0" w:color="auto"/>
                                                <w:right w:val="none" w:sz="0" w:space="0" w:color="auto"/>
                                              </w:divBdr>
                                              <w:divsChild>
                                                <w:div w:id="1590843983">
                                                  <w:marLeft w:val="0"/>
                                                  <w:marRight w:val="0"/>
                                                  <w:marTop w:val="0"/>
                                                  <w:marBottom w:val="0"/>
                                                  <w:divBdr>
                                                    <w:top w:val="none" w:sz="0" w:space="0" w:color="auto"/>
                                                    <w:left w:val="none" w:sz="0" w:space="0" w:color="auto"/>
                                                    <w:bottom w:val="none" w:sz="0" w:space="0" w:color="auto"/>
                                                    <w:right w:val="none" w:sz="0" w:space="0" w:color="auto"/>
                                                  </w:divBdr>
                                                  <w:divsChild>
                                                    <w:div w:id="10802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8766">
                                          <w:marLeft w:val="0"/>
                                          <w:marRight w:val="0"/>
                                          <w:marTop w:val="0"/>
                                          <w:marBottom w:val="0"/>
                                          <w:divBdr>
                                            <w:top w:val="none" w:sz="0" w:space="0" w:color="auto"/>
                                            <w:left w:val="none" w:sz="0" w:space="0" w:color="auto"/>
                                            <w:bottom w:val="none" w:sz="0" w:space="0" w:color="auto"/>
                                            <w:right w:val="none" w:sz="0" w:space="0" w:color="auto"/>
                                          </w:divBdr>
                                          <w:divsChild>
                                            <w:div w:id="1355962522">
                                              <w:marLeft w:val="0"/>
                                              <w:marRight w:val="0"/>
                                              <w:marTop w:val="0"/>
                                              <w:marBottom w:val="0"/>
                                              <w:divBdr>
                                                <w:top w:val="none" w:sz="0" w:space="0" w:color="auto"/>
                                                <w:left w:val="none" w:sz="0" w:space="0" w:color="auto"/>
                                                <w:bottom w:val="none" w:sz="0" w:space="0" w:color="auto"/>
                                                <w:right w:val="none" w:sz="0" w:space="0" w:color="auto"/>
                                              </w:divBdr>
                                              <w:divsChild>
                                                <w:div w:id="1391659194">
                                                  <w:marLeft w:val="0"/>
                                                  <w:marRight w:val="0"/>
                                                  <w:marTop w:val="0"/>
                                                  <w:marBottom w:val="0"/>
                                                  <w:divBdr>
                                                    <w:top w:val="none" w:sz="0" w:space="0" w:color="auto"/>
                                                    <w:left w:val="none" w:sz="0" w:space="0" w:color="auto"/>
                                                    <w:bottom w:val="none" w:sz="0" w:space="0" w:color="auto"/>
                                                    <w:right w:val="none" w:sz="0" w:space="0" w:color="auto"/>
                                                  </w:divBdr>
                                                  <w:divsChild>
                                                    <w:div w:id="14683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7655">
                                          <w:marLeft w:val="0"/>
                                          <w:marRight w:val="0"/>
                                          <w:marTop w:val="0"/>
                                          <w:marBottom w:val="0"/>
                                          <w:divBdr>
                                            <w:top w:val="none" w:sz="0" w:space="0" w:color="auto"/>
                                            <w:left w:val="none" w:sz="0" w:space="0" w:color="auto"/>
                                            <w:bottom w:val="none" w:sz="0" w:space="0" w:color="auto"/>
                                            <w:right w:val="none" w:sz="0" w:space="0" w:color="auto"/>
                                          </w:divBdr>
                                          <w:divsChild>
                                            <w:div w:id="588075210">
                                              <w:marLeft w:val="0"/>
                                              <w:marRight w:val="0"/>
                                              <w:marTop w:val="0"/>
                                              <w:marBottom w:val="0"/>
                                              <w:divBdr>
                                                <w:top w:val="none" w:sz="0" w:space="0" w:color="auto"/>
                                                <w:left w:val="none" w:sz="0" w:space="0" w:color="auto"/>
                                                <w:bottom w:val="none" w:sz="0" w:space="0" w:color="auto"/>
                                                <w:right w:val="none" w:sz="0" w:space="0" w:color="auto"/>
                                              </w:divBdr>
                                              <w:divsChild>
                                                <w:div w:id="2053261184">
                                                  <w:marLeft w:val="0"/>
                                                  <w:marRight w:val="0"/>
                                                  <w:marTop w:val="0"/>
                                                  <w:marBottom w:val="0"/>
                                                  <w:divBdr>
                                                    <w:top w:val="none" w:sz="0" w:space="0" w:color="auto"/>
                                                    <w:left w:val="none" w:sz="0" w:space="0" w:color="auto"/>
                                                    <w:bottom w:val="none" w:sz="0" w:space="0" w:color="auto"/>
                                                    <w:right w:val="none" w:sz="0" w:space="0" w:color="auto"/>
                                                  </w:divBdr>
                                                  <w:divsChild>
                                                    <w:div w:id="9397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451886">
          <w:marLeft w:val="-225"/>
          <w:marRight w:val="-225"/>
          <w:marTop w:val="0"/>
          <w:marBottom w:val="0"/>
          <w:divBdr>
            <w:top w:val="none" w:sz="0" w:space="0" w:color="auto"/>
            <w:left w:val="none" w:sz="0" w:space="0" w:color="auto"/>
            <w:bottom w:val="none" w:sz="0" w:space="0" w:color="auto"/>
            <w:right w:val="none" w:sz="0" w:space="0" w:color="auto"/>
          </w:divBdr>
          <w:divsChild>
            <w:div w:id="625697366">
              <w:marLeft w:val="0"/>
              <w:marRight w:val="0"/>
              <w:marTop w:val="0"/>
              <w:marBottom w:val="0"/>
              <w:divBdr>
                <w:top w:val="none" w:sz="0" w:space="0" w:color="auto"/>
                <w:left w:val="none" w:sz="0" w:space="0" w:color="auto"/>
                <w:bottom w:val="none" w:sz="0" w:space="0" w:color="auto"/>
                <w:right w:val="none" w:sz="0" w:space="0" w:color="auto"/>
              </w:divBdr>
              <w:divsChild>
                <w:div w:id="1729526547">
                  <w:marLeft w:val="0"/>
                  <w:marRight w:val="0"/>
                  <w:marTop w:val="0"/>
                  <w:marBottom w:val="0"/>
                  <w:divBdr>
                    <w:top w:val="none" w:sz="0" w:space="0" w:color="auto"/>
                    <w:left w:val="none" w:sz="0" w:space="0" w:color="auto"/>
                    <w:bottom w:val="none" w:sz="0" w:space="0" w:color="auto"/>
                    <w:right w:val="none" w:sz="0" w:space="0" w:color="auto"/>
                  </w:divBdr>
                  <w:divsChild>
                    <w:div w:id="456409545">
                      <w:marLeft w:val="0"/>
                      <w:marRight w:val="0"/>
                      <w:marTop w:val="0"/>
                      <w:marBottom w:val="0"/>
                      <w:divBdr>
                        <w:top w:val="none" w:sz="0" w:space="0" w:color="auto"/>
                        <w:left w:val="none" w:sz="0" w:space="0" w:color="auto"/>
                        <w:bottom w:val="none" w:sz="0" w:space="0" w:color="auto"/>
                        <w:right w:val="none" w:sz="0" w:space="0" w:color="auto"/>
                      </w:divBdr>
                      <w:divsChild>
                        <w:div w:id="1363941949">
                          <w:marLeft w:val="0"/>
                          <w:marRight w:val="0"/>
                          <w:marTop w:val="0"/>
                          <w:marBottom w:val="0"/>
                          <w:divBdr>
                            <w:top w:val="none" w:sz="0" w:space="0" w:color="auto"/>
                            <w:left w:val="none" w:sz="0" w:space="0" w:color="auto"/>
                            <w:bottom w:val="none" w:sz="0" w:space="0" w:color="auto"/>
                            <w:right w:val="none" w:sz="0" w:space="0" w:color="auto"/>
                          </w:divBdr>
                          <w:divsChild>
                            <w:div w:id="902525939">
                              <w:marLeft w:val="0"/>
                              <w:marRight w:val="0"/>
                              <w:marTop w:val="0"/>
                              <w:marBottom w:val="525"/>
                              <w:divBdr>
                                <w:top w:val="none" w:sz="0" w:space="0" w:color="auto"/>
                                <w:left w:val="none" w:sz="0" w:space="0" w:color="auto"/>
                                <w:bottom w:val="none" w:sz="0" w:space="0" w:color="auto"/>
                                <w:right w:val="none" w:sz="0" w:space="0" w:color="auto"/>
                              </w:divBdr>
                              <w:divsChild>
                                <w:div w:id="64690963">
                                  <w:marLeft w:val="0"/>
                                  <w:marRight w:val="0"/>
                                  <w:marTop w:val="0"/>
                                  <w:marBottom w:val="0"/>
                                  <w:divBdr>
                                    <w:top w:val="none" w:sz="0" w:space="0" w:color="auto"/>
                                    <w:left w:val="none" w:sz="0" w:space="0" w:color="auto"/>
                                    <w:bottom w:val="none" w:sz="0" w:space="0" w:color="auto"/>
                                    <w:right w:val="none" w:sz="0" w:space="0" w:color="auto"/>
                                  </w:divBdr>
                                  <w:divsChild>
                                    <w:div w:id="289559311">
                                      <w:marLeft w:val="0"/>
                                      <w:marRight w:val="-75"/>
                                      <w:marTop w:val="0"/>
                                      <w:marBottom w:val="0"/>
                                      <w:divBdr>
                                        <w:top w:val="none" w:sz="0" w:space="0" w:color="auto"/>
                                        <w:left w:val="none" w:sz="0" w:space="0" w:color="auto"/>
                                        <w:bottom w:val="none" w:sz="0" w:space="0" w:color="auto"/>
                                        <w:right w:val="none" w:sz="0" w:space="0" w:color="auto"/>
                                      </w:divBdr>
                                      <w:divsChild>
                                        <w:div w:id="599606234">
                                          <w:marLeft w:val="0"/>
                                          <w:marRight w:val="0"/>
                                          <w:marTop w:val="0"/>
                                          <w:marBottom w:val="0"/>
                                          <w:divBdr>
                                            <w:top w:val="none" w:sz="0" w:space="0" w:color="auto"/>
                                            <w:left w:val="none" w:sz="0" w:space="0" w:color="auto"/>
                                            <w:bottom w:val="none" w:sz="0" w:space="0" w:color="auto"/>
                                            <w:right w:val="none" w:sz="0" w:space="0" w:color="auto"/>
                                          </w:divBdr>
                                          <w:divsChild>
                                            <w:div w:id="433748795">
                                              <w:marLeft w:val="0"/>
                                              <w:marRight w:val="0"/>
                                              <w:marTop w:val="0"/>
                                              <w:marBottom w:val="0"/>
                                              <w:divBdr>
                                                <w:top w:val="none" w:sz="0" w:space="0" w:color="auto"/>
                                                <w:left w:val="none" w:sz="0" w:space="0" w:color="auto"/>
                                                <w:bottom w:val="none" w:sz="0" w:space="0" w:color="auto"/>
                                                <w:right w:val="none" w:sz="0" w:space="0" w:color="auto"/>
                                              </w:divBdr>
                                              <w:divsChild>
                                                <w:div w:id="816187877">
                                                  <w:marLeft w:val="0"/>
                                                  <w:marRight w:val="0"/>
                                                  <w:marTop w:val="0"/>
                                                  <w:marBottom w:val="0"/>
                                                  <w:divBdr>
                                                    <w:top w:val="none" w:sz="0" w:space="0" w:color="auto"/>
                                                    <w:left w:val="none" w:sz="0" w:space="0" w:color="auto"/>
                                                    <w:bottom w:val="none" w:sz="0" w:space="0" w:color="auto"/>
                                                    <w:right w:val="none" w:sz="0" w:space="0" w:color="auto"/>
                                                  </w:divBdr>
                                                  <w:divsChild>
                                                    <w:div w:id="13885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7707">
                                          <w:marLeft w:val="0"/>
                                          <w:marRight w:val="0"/>
                                          <w:marTop w:val="0"/>
                                          <w:marBottom w:val="0"/>
                                          <w:divBdr>
                                            <w:top w:val="none" w:sz="0" w:space="0" w:color="auto"/>
                                            <w:left w:val="none" w:sz="0" w:space="0" w:color="auto"/>
                                            <w:bottom w:val="none" w:sz="0" w:space="0" w:color="auto"/>
                                            <w:right w:val="none" w:sz="0" w:space="0" w:color="auto"/>
                                          </w:divBdr>
                                          <w:divsChild>
                                            <w:div w:id="1132747831">
                                              <w:marLeft w:val="0"/>
                                              <w:marRight w:val="0"/>
                                              <w:marTop w:val="0"/>
                                              <w:marBottom w:val="0"/>
                                              <w:divBdr>
                                                <w:top w:val="none" w:sz="0" w:space="0" w:color="auto"/>
                                                <w:left w:val="none" w:sz="0" w:space="0" w:color="auto"/>
                                                <w:bottom w:val="none" w:sz="0" w:space="0" w:color="auto"/>
                                                <w:right w:val="none" w:sz="0" w:space="0" w:color="auto"/>
                                              </w:divBdr>
                                              <w:divsChild>
                                                <w:div w:id="709375358">
                                                  <w:marLeft w:val="0"/>
                                                  <w:marRight w:val="0"/>
                                                  <w:marTop w:val="0"/>
                                                  <w:marBottom w:val="0"/>
                                                  <w:divBdr>
                                                    <w:top w:val="none" w:sz="0" w:space="0" w:color="auto"/>
                                                    <w:left w:val="none" w:sz="0" w:space="0" w:color="auto"/>
                                                    <w:bottom w:val="none" w:sz="0" w:space="0" w:color="auto"/>
                                                    <w:right w:val="none" w:sz="0" w:space="0" w:color="auto"/>
                                                  </w:divBdr>
                                                  <w:divsChild>
                                                    <w:div w:id="17395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0273">
                                          <w:marLeft w:val="0"/>
                                          <w:marRight w:val="0"/>
                                          <w:marTop w:val="0"/>
                                          <w:marBottom w:val="0"/>
                                          <w:divBdr>
                                            <w:top w:val="none" w:sz="0" w:space="0" w:color="auto"/>
                                            <w:left w:val="none" w:sz="0" w:space="0" w:color="auto"/>
                                            <w:bottom w:val="none" w:sz="0" w:space="0" w:color="auto"/>
                                            <w:right w:val="none" w:sz="0" w:space="0" w:color="auto"/>
                                          </w:divBdr>
                                          <w:divsChild>
                                            <w:div w:id="28142058">
                                              <w:marLeft w:val="0"/>
                                              <w:marRight w:val="0"/>
                                              <w:marTop w:val="0"/>
                                              <w:marBottom w:val="0"/>
                                              <w:divBdr>
                                                <w:top w:val="none" w:sz="0" w:space="0" w:color="auto"/>
                                                <w:left w:val="none" w:sz="0" w:space="0" w:color="auto"/>
                                                <w:bottom w:val="none" w:sz="0" w:space="0" w:color="auto"/>
                                                <w:right w:val="none" w:sz="0" w:space="0" w:color="auto"/>
                                              </w:divBdr>
                                              <w:divsChild>
                                                <w:div w:id="289557639">
                                                  <w:marLeft w:val="0"/>
                                                  <w:marRight w:val="0"/>
                                                  <w:marTop w:val="0"/>
                                                  <w:marBottom w:val="0"/>
                                                  <w:divBdr>
                                                    <w:top w:val="none" w:sz="0" w:space="0" w:color="auto"/>
                                                    <w:left w:val="none" w:sz="0" w:space="0" w:color="auto"/>
                                                    <w:bottom w:val="none" w:sz="0" w:space="0" w:color="auto"/>
                                                    <w:right w:val="none" w:sz="0" w:space="0" w:color="auto"/>
                                                  </w:divBdr>
                                                  <w:divsChild>
                                                    <w:div w:id="3113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782111">
          <w:marLeft w:val="-225"/>
          <w:marRight w:val="-225"/>
          <w:marTop w:val="0"/>
          <w:marBottom w:val="0"/>
          <w:divBdr>
            <w:top w:val="none" w:sz="0" w:space="0" w:color="auto"/>
            <w:left w:val="none" w:sz="0" w:space="0" w:color="auto"/>
            <w:bottom w:val="none" w:sz="0" w:space="0" w:color="auto"/>
            <w:right w:val="none" w:sz="0" w:space="0" w:color="auto"/>
          </w:divBdr>
          <w:divsChild>
            <w:div w:id="35785024">
              <w:marLeft w:val="0"/>
              <w:marRight w:val="0"/>
              <w:marTop w:val="0"/>
              <w:marBottom w:val="0"/>
              <w:divBdr>
                <w:top w:val="none" w:sz="0" w:space="0" w:color="auto"/>
                <w:left w:val="none" w:sz="0" w:space="0" w:color="auto"/>
                <w:bottom w:val="none" w:sz="0" w:space="0" w:color="auto"/>
                <w:right w:val="none" w:sz="0" w:space="0" w:color="auto"/>
              </w:divBdr>
              <w:divsChild>
                <w:div w:id="244727749">
                  <w:marLeft w:val="0"/>
                  <w:marRight w:val="0"/>
                  <w:marTop w:val="0"/>
                  <w:marBottom w:val="0"/>
                  <w:divBdr>
                    <w:top w:val="none" w:sz="0" w:space="0" w:color="auto"/>
                    <w:left w:val="none" w:sz="0" w:space="0" w:color="auto"/>
                    <w:bottom w:val="none" w:sz="0" w:space="0" w:color="auto"/>
                    <w:right w:val="none" w:sz="0" w:space="0" w:color="auto"/>
                  </w:divBdr>
                  <w:divsChild>
                    <w:div w:id="718553643">
                      <w:marLeft w:val="0"/>
                      <w:marRight w:val="0"/>
                      <w:marTop w:val="0"/>
                      <w:marBottom w:val="0"/>
                      <w:divBdr>
                        <w:top w:val="none" w:sz="0" w:space="0" w:color="auto"/>
                        <w:left w:val="none" w:sz="0" w:space="0" w:color="auto"/>
                        <w:bottom w:val="none" w:sz="0" w:space="0" w:color="auto"/>
                        <w:right w:val="none" w:sz="0" w:space="0" w:color="auto"/>
                      </w:divBdr>
                      <w:divsChild>
                        <w:div w:id="368333884">
                          <w:marLeft w:val="0"/>
                          <w:marRight w:val="0"/>
                          <w:marTop w:val="0"/>
                          <w:marBottom w:val="525"/>
                          <w:divBdr>
                            <w:top w:val="none" w:sz="0" w:space="0" w:color="auto"/>
                            <w:left w:val="none" w:sz="0" w:space="0" w:color="auto"/>
                            <w:bottom w:val="none" w:sz="0" w:space="0" w:color="auto"/>
                            <w:right w:val="none" w:sz="0" w:space="0" w:color="auto"/>
                          </w:divBdr>
                          <w:divsChild>
                            <w:div w:id="4932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41761">
          <w:marLeft w:val="-225"/>
          <w:marRight w:val="-225"/>
          <w:marTop w:val="0"/>
          <w:marBottom w:val="0"/>
          <w:divBdr>
            <w:top w:val="none" w:sz="0" w:space="0" w:color="auto"/>
            <w:left w:val="none" w:sz="0" w:space="0" w:color="auto"/>
            <w:bottom w:val="none" w:sz="0" w:space="0" w:color="auto"/>
            <w:right w:val="none" w:sz="0" w:space="0" w:color="auto"/>
          </w:divBdr>
          <w:divsChild>
            <w:div w:id="1850482552">
              <w:marLeft w:val="0"/>
              <w:marRight w:val="0"/>
              <w:marTop w:val="0"/>
              <w:marBottom w:val="0"/>
              <w:divBdr>
                <w:top w:val="none" w:sz="0" w:space="0" w:color="auto"/>
                <w:left w:val="none" w:sz="0" w:space="0" w:color="auto"/>
                <w:bottom w:val="none" w:sz="0" w:space="0" w:color="auto"/>
                <w:right w:val="none" w:sz="0" w:space="0" w:color="auto"/>
              </w:divBdr>
              <w:divsChild>
                <w:div w:id="889539225">
                  <w:marLeft w:val="0"/>
                  <w:marRight w:val="0"/>
                  <w:marTop w:val="0"/>
                  <w:marBottom w:val="0"/>
                  <w:divBdr>
                    <w:top w:val="none" w:sz="0" w:space="0" w:color="auto"/>
                    <w:left w:val="none" w:sz="0" w:space="0" w:color="auto"/>
                    <w:bottom w:val="none" w:sz="0" w:space="0" w:color="auto"/>
                    <w:right w:val="none" w:sz="0" w:space="0" w:color="auto"/>
                  </w:divBdr>
                  <w:divsChild>
                    <w:div w:id="374693859">
                      <w:marLeft w:val="0"/>
                      <w:marRight w:val="0"/>
                      <w:marTop w:val="0"/>
                      <w:marBottom w:val="0"/>
                      <w:divBdr>
                        <w:top w:val="none" w:sz="0" w:space="0" w:color="auto"/>
                        <w:left w:val="none" w:sz="0" w:space="0" w:color="auto"/>
                        <w:bottom w:val="none" w:sz="0" w:space="0" w:color="auto"/>
                        <w:right w:val="none" w:sz="0" w:space="0" w:color="auto"/>
                      </w:divBdr>
                      <w:divsChild>
                        <w:div w:id="1315522686">
                          <w:marLeft w:val="0"/>
                          <w:marRight w:val="0"/>
                          <w:marTop w:val="0"/>
                          <w:marBottom w:val="525"/>
                          <w:divBdr>
                            <w:top w:val="none" w:sz="0" w:space="0" w:color="auto"/>
                            <w:left w:val="none" w:sz="0" w:space="0" w:color="auto"/>
                            <w:bottom w:val="none" w:sz="0" w:space="0" w:color="auto"/>
                            <w:right w:val="none" w:sz="0" w:space="0" w:color="auto"/>
                          </w:divBdr>
                          <w:divsChild>
                            <w:div w:id="9775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5151">
          <w:marLeft w:val="-225"/>
          <w:marRight w:val="-225"/>
          <w:marTop w:val="0"/>
          <w:marBottom w:val="0"/>
          <w:divBdr>
            <w:top w:val="none" w:sz="0" w:space="0" w:color="auto"/>
            <w:left w:val="none" w:sz="0" w:space="0" w:color="auto"/>
            <w:bottom w:val="none" w:sz="0" w:space="0" w:color="auto"/>
            <w:right w:val="none" w:sz="0" w:space="0" w:color="auto"/>
          </w:divBdr>
          <w:divsChild>
            <w:div w:id="302736166">
              <w:marLeft w:val="0"/>
              <w:marRight w:val="0"/>
              <w:marTop w:val="0"/>
              <w:marBottom w:val="0"/>
              <w:divBdr>
                <w:top w:val="none" w:sz="0" w:space="0" w:color="auto"/>
                <w:left w:val="none" w:sz="0" w:space="0" w:color="auto"/>
                <w:bottom w:val="none" w:sz="0" w:space="0" w:color="auto"/>
                <w:right w:val="none" w:sz="0" w:space="0" w:color="auto"/>
              </w:divBdr>
              <w:divsChild>
                <w:div w:id="1722434538">
                  <w:marLeft w:val="0"/>
                  <w:marRight w:val="0"/>
                  <w:marTop w:val="0"/>
                  <w:marBottom w:val="0"/>
                  <w:divBdr>
                    <w:top w:val="none" w:sz="0" w:space="0" w:color="auto"/>
                    <w:left w:val="none" w:sz="0" w:space="0" w:color="auto"/>
                    <w:bottom w:val="none" w:sz="0" w:space="0" w:color="auto"/>
                    <w:right w:val="none" w:sz="0" w:space="0" w:color="auto"/>
                  </w:divBdr>
                  <w:divsChild>
                    <w:div w:id="788817176">
                      <w:marLeft w:val="0"/>
                      <w:marRight w:val="0"/>
                      <w:marTop w:val="0"/>
                      <w:marBottom w:val="0"/>
                      <w:divBdr>
                        <w:top w:val="none" w:sz="0" w:space="0" w:color="auto"/>
                        <w:left w:val="none" w:sz="0" w:space="0" w:color="auto"/>
                        <w:bottom w:val="none" w:sz="0" w:space="0" w:color="auto"/>
                        <w:right w:val="none" w:sz="0" w:space="0" w:color="auto"/>
                      </w:divBdr>
                      <w:divsChild>
                        <w:div w:id="634214597">
                          <w:marLeft w:val="0"/>
                          <w:marRight w:val="0"/>
                          <w:marTop w:val="0"/>
                          <w:marBottom w:val="525"/>
                          <w:divBdr>
                            <w:top w:val="none" w:sz="0" w:space="0" w:color="auto"/>
                            <w:left w:val="none" w:sz="0" w:space="0" w:color="auto"/>
                            <w:bottom w:val="none" w:sz="0" w:space="0" w:color="auto"/>
                            <w:right w:val="none" w:sz="0" w:space="0" w:color="auto"/>
                          </w:divBdr>
                          <w:divsChild>
                            <w:div w:id="1573157597">
                              <w:marLeft w:val="0"/>
                              <w:marRight w:val="0"/>
                              <w:marTop w:val="0"/>
                              <w:marBottom w:val="0"/>
                              <w:divBdr>
                                <w:top w:val="none" w:sz="0" w:space="0" w:color="auto"/>
                                <w:left w:val="none" w:sz="0" w:space="0" w:color="auto"/>
                                <w:bottom w:val="none" w:sz="0" w:space="0" w:color="auto"/>
                                <w:right w:val="none" w:sz="0" w:space="0" w:color="auto"/>
                              </w:divBdr>
                              <w:divsChild>
                                <w:div w:id="1694185545">
                                  <w:marLeft w:val="0"/>
                                  <w:marRight w:val="0"/>
                                  <w:marTop w:val="0"/>
                                  <w:marBottom w:val="0"/>
                                  <w:divBdr>
                                    <w:top w:val="none" w:sz="0" w:space="0" w:color="auto"/>
                                    <w:left w:val="none" w:sz="0" w:space="0" w:color="auto"/>
                                    <w:bottom w:val="none" w:sz="0" w:space="0" w:color="auto"/>
                                    <w:right w:val="none" w:sz="0" w:space="0" w:color="auto"/>
                                  </w:divBdr>
                                  <w:divsChild>
                                    <w:div w:id="1141579857">
                                      <w:marLeft w:val="0"/>
                                      <w:marRight w:val="0"/>
                                      <w:marTop w:val="0"/>
                                      <w:marBottom w:val="0"/>
                                      <w:divBdr>
                                        <w:top w:val="none" w:sz="0" w:space="0" w:color="auto"/>
                                        <w:left w:val="none" w:sz="0" w:space="0" w:color="auto"/>
                                        <w:bottom w:val="none" w:sz="0" w:space="0" w:color="auto"/>
                                        <w:right w:val="none" w:sz="0" w:space="0" w:color="auto"/>
                                      </w:divBdr>
                                      <w:divsChild>
                                        <w:div w:id="20441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488622">
      <w:bodyDiv w:val="1"/>
      <w:marLeft w:val="0"/>
      <w:marRight w:val="0"/>
      <w:marTop w:val="0"/>
      <w:marBottom w:val="0"/>
      <w:divBdr>
        <w:top w:val="none" w:sz="0" w:space="0" w:color="auto"/>
        <w:left w:val="none" w:sz="0" w:space="0" w:color="auto"/>
        <w:bottom w:val="none" w:sz="0" w:space="0" w:color="auto"/>
        <w:right w:val="none" w:sz="0" w:space="0" w:color="auto"/>
      </w:divBdr>
    </w:div>
    <w:div w:id="1098719758">
      <w:bodyDiv w:val="1"/>
      <w:marLeft w:val="0"/>
      <w:marRight w:val="0"/>
      <w:marTop w:val="0"/>
      <w:marBottom w:val="0"/>
      <w:divBdr>
        <w:top w:val="none" w:sz="0" w:space="0" w:color="auto"/>
        <w:left w:val="none" w:sz="0" w:space="0" w:color="auto"/>
        <w:bottom w:val="none" w:sz="0" w:space="0" w:color="auto"/>
        <w:right w:val="none" w:sz="0" w:space="0" w:color="auto"/>
      </w:divBdr>
    </w:div>
    <w:div w:id="1099640472">
      <w:bodyDiv w:val="1"/>
      <w:marLeft w:val="0"/>
      <w:marRight w:val="0"/>
      <w:marTop w:val="0"/>
      <w:marBottom w:val="0"/>
      <w:divBdr>
        <w:top w:val="none" w:sz="0" w:space="0" w:color="auto"/>
        <w:left w:val="none" w:sz="0" w:space="0" w:color="auto"/>
        <w:bottom w:val="none" w:sz="0" w:space="0" w:color="auto"/>
        <w:right w:val="none" w:sz="0" w:space="0" w:color="auto"/>
      </w:divBdr>
    </w:div>
    <w:div w:id="1219707936">
      <w:bodyDiv w:val="1"/>
      <w:marLeft w:val="0"/>
      <w:marRight w:val="0"/>
      <w:marTop w:val="0"/>
      <w:marBottom w:val="0"/>
      <w:divBdr>
        <w:top w:val="none" w:sz="0" w:space="0" w:color="auto"/>
        <w:left w:val="none" w:sz="0" w:space="0" w:color="auto"/>
        <w:bottom w:val="none" w:sz="0" w:space="0" w:color="auto"/>
        <w:right w:val="none" w:sz="0" w:space="0" w:color="auto"/>
      </w:divBdr>
    </w:div>
    <w:div w:id="1311520861">
      <w:bodyDiv w:val="1"/>
      <w:marLeft w:val="0"/>
      <w:marRight w:val="0"/>
      <w:marTop w:val="0"/>
      <w:marBottom w:val="0"/>
      <w:divBdr>
        <w:top w:val="none" w:sz="0" w:space="0" w:color="auto"/>
        <w:left w:val="none" w:sz="0" w:space="0" w:color="auto"/>
        <w:bottom w:val="none" w:sz="0" w:space="0" w:color="auto"/>
        <w:right w:val="none" w:sz="0" w:space="0" w:color="auto"/>
      </w:divBdr>
    </w:div>
    <w:div w:id="1437097570">
      <w:bodyDiv w:val="1"/>
      <w:marLeft w:val="0"/>
      <w:marRight w:val="0"/>
      <w:marTop w:val="0"/>
      <w:marBottom w:val="0"/>
      <w:divBdr>
        <w:top w:val="none" w:sz="0" w:space="0" w:color="auto"/>
        <w:left w:val="none" w:sz="0" w:space="0" w:color="auto"/>
        <w:bottom w:val="none" w:sz="0" w:space="0" w:color="auto"/>
        <w:right w:val="none" w:sz="0" w:space="0" w:color="auto"/>
      </w:divBdr>
    </w:div>
    <w:div w:id="1674527672">
      <w:bodyDiv w:val="1"/>
      <w:marLeft w:val="0"/>
      <w:marRight w:val="0"/>
      <w:marTop w:val="0"/>
      <w:marBottom w:val="0"/>
      <w:divBdr>
        <w:top w:val="none" w:sz="0" w:space="0" w:color="auto"/>
        <w:left w:val="none" w:sz="0" w:space="0" w:color="auto"/>
        <w:bottom w:val="none" w:sz="0" w:space="0" w:color="auto"/>
        <w:right w:val="none" w:sz="0" w:space="0" w:color="auto"/>
      </w:divBdr>
    </w:div>
    <w:div w:id="1710564032">
      <w:bodyDiv w:val="1"/>
      <w:marLeft w:val="0"/>
      <w:marRight w:val="0"/>
      <w:marTop w:val="0"/>
      <w:marBottom w:val="0"/>
      <w:divBdr>
        <w:top w:val="none" w:sz="0" w:space="0" w:color="auto"/>
        <w:left w:val="none" w:sz="0" w:space="0" w:color="auto"/>
        <w:bottom w:val="none" w:sz="0" w:space="0" w:color="auto"/>
        <w:right w:val="none" w:sz="0" w:space="0" w:color="auto"/>
      </w:divBdr>
    </w:div>
    <w:div w:id="1838154156">
      <w:bodyDiv w:val="1"/>
      <w:marLeft w:val="0"/>
      <w:marRight w:val="0"/>
      <w:marTop w:val="0"/>
      <w:marBottom w:val="0"/>
      <w:divBdr>
        <w:top w:val="none" w:sz="0" w:space="0" w:color="auto"/>
        <w:left w:val="none" w:sz="0" w:space="0" w:color="auto"/>
        <w:bottom w:val="none" w:sz="0" w:space="0" w:color="auto"/>
        <w:right w:val="none" w:sz="0" w:space="0" w:color="auto"/>
      </w:divBdr>
    </w:div>
    <w:div w:id="1926987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C865-1FC5-42D3-AD1B-09DF870D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3958</Words>
  <Characters>22563</Characters>
  <Application>Microsoft Office Word</Application>
  <DocSecurity>0</DocSecurity>
  <Lines>188</Lines>
  <Paragraphs>52</Paragraphs>
  <ScaleCrop>false</ScaleCrop>
  <HeadingPairs>
    <vt:vector size="2" baseType="variant">
      <vt:variant>
        <vt:lpstr>タイトル</vt:lpstr>
      </vt:variant>
      <vt:variant>
        <vt:i4>1</vt:i4>
      </vt:variant>
    </vt:vector>
  </HeadingPairs>
  <TitlesOfParts>
    <vt:vector size="1" baseType="lpstr">
      <vt:lpstr/>
    </vt:vector>
  </TitlesOfParts>
  <Company>株式会社日立製作所</Company>
  <LinksUpToDate>false</LinksUpToDate>
  <CharactersWithSpaces>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白井均</dc:creator>
  <cp:keywords/>
  <dc:description/>
  <cp:lastModifiedBy>伸郎 米山</cp:lastModifiedBy>
  <cp:revision>2</cp:revision>
  <cp:lastPrinted>2023-09-01T01:45:00Z</cp:lastPrinted>
  <dcterms:created xsi:type="dcterms:W3CDTF">2023-10-06T00:13:00Z</dcterms:created>
  <dcterms:modified xsi:type="dcterms:W3CDTF">2023-10-06T00:13:00Z</dcterms:modified>
</cp:coreProperties>
</file>